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7EEB" w:rsidR="00D5547E" w:rsidP="004A6D2F" w:rsidRDefault="00D5547E" w14:paraId="3A2EDFC9" w14:textId="77777777">
      <w:pPr>
        <w:rPr>
          <w:sz w:val="2"/>
          <w:szCs w:val="2"/>
        </w:rPr>
      </w:pPr>
    </w:p>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F95BC9" w:rsidR="00F445B1" w:rsidP="004A6D2F" w:rsidRDefault="00DB7AD7" w14:paraId="017518DB" w14:textId="5D58EA40">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62B73EE3" w14:paraId="705FA4FB" w14:textId="77777777">
        <w:tc>
          <w:tcPr>
            <w:tcW w:w="2438" w:type="dxa"/>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9E30E2" w:rsidR="00F445B1" w:rsidP="62B73EE3" w:rsidRDefault="00400B60" w14:paraId="4F4A4C58" w14:textId="28D364E9">
            <w:pPr>
              <w:rPr>
                <w:b/>
                <w:bCs/>
                <w:color w:val="auto"/>
              </w:rPr>
            </w:pPr>
            <w:r>
              <w:rPr>
                <w:rStyle w:val="Firstpagetablebold"/>
                <w:rFonts w:cs="Arial"/>
                <w:b w:val="0"/>
                <w:color w:val="auto"/>
              </w:rPr>
              <w:t xml:space="preserve">22 </w:t>
            </w:r>
            <w:r w:rsidR="00D63BB5">
              <w:rPr>
                <w:rStyle w:val="Firstpagetablebold"/>
                <w:rFonts w:cs="Arial"/>
                <w:b w:val="0"/>
                <w:color w:val="auto"/>
              </w:rPr>
              <w:t>October 2025</w:t>
            </w:r>
          </w:p>
        </w:tc>
      </w:tr>
      <w:tr w:rsidRPr="00975B07" w:rsidR="00CE544A" w:rsidTr="62B73EE3" w14:paraId="7AED9E48" w14:textId="77777777">
        <w:tc>
          <w:tcPr>
            <w:tcW w:w="2438" w:type="dxa"/>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9E30E2" w:rsidR="00F445B1" w:rsidP="004A6D2F" w:rsidRDefault="003C566A" w14:paraId="31C202AE" w14:textId="2C3F9074">
            <w:pPr>
              <w:rPr>
                <w:rStyle w:val="Firstpagetablebold"/>
                <w:color w:val="auto"/>
              </w:rPr>
            </w:pPr>
            <w:r>
              <w:rPr>
                <w:rStyle w:val="Firstpagetablebold"/>
                <w:rFonts w:cs="Arial"/>
                <w:b w:val="0"/>
                <w:color w:val="auto"/>
              </w:rPr>
              <w:t>Director of Communities and Citizens</w:t>
            </w:r>
          </w:p>
        </w:tc>
      </w:tr>
      <w:tr w:rsidRPr="00975B07" w:rsidR="00CE544A" w:rsidTr="62B73EE3" w14:paraId="312CDF01" w14:textId="77777777">
        <w:tc>
          <w:tcPr>
            <w:tcW w:w="2438" w:type="dxa"/>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Pr>
          <w:p w:rsidRPr="009E30E2" w:rsidR="00F445B1" w:rsidP="004A6D2F" w:rsidRDefault="00B0711E" w14:paraId="4C45E9F3" w14:textId="315CFDDB">
            <w:pPr>
              <w:rPr>
                <w:rStyle w:val="Firstpagetablebold"/>
                <w:color w:val="auto"/>
              </w:rPr>
            </w:pPr>
            <w:r>
              <w:rPr>
                <w:rStyle w:val="Firstpagetablebold"/>
                <w:rFonts w:cs="Arial"/>
                <w:b w:val="0"/>
                <w:color w:val="auto"/>
              </w:rPr>
              <w:t>Museum of Oxford Entry Fee</w:t>
            </w:r>
            <w:r w:rsidR="00B92930">
              <w:rPr>
                <w:rStyle w:val="Firstpagetablebold"/>
                <w:rFonts w:cs="Arial"/>
                <w:b w:val="0"/>
                <w:color w:val="auto"/>
              </w:rPr>
              <w:t>s</w:t>
            </w:r>
          </w:p>
        </w:tc>
      </w:tr>
    </w:tbl>
    <w:p w:rsidRPr="008940D5" w:rsidR="004F20EF" w:rsidP="004A6D2F" w:rsidRDefault="004F20EF" w14:paraId="2173E708" w14:textId="77777777">
      <w:pPr>
        <w:rPr>
          <w:sz w:val="2"/>
          <w:szCs w:val="2"/>
        </w:rPr>
      </w:pPr>
    </w:p>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574CE9" w14:paraId="419B6548" w14:textId="1271746C">
            <w:pPr>
              <w:rPr>
                <w:color w:val="auto"/>
              </w:rPr>
            </w:pPr>
            <w:r w:rsidRPr="00574CE9">
              <w:rPr>
                <w:color w:val="auto"/>
              </w:rPr>
              <w:t>The report will consider options for charging a small entry fee to visit the museum. It will also consider options for eligibility for concessionary and free entry.</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DF795E" w14:paraId="1B0C58F5" w14:textId="707EC386">
            <w:pPr>
              <w:rPr>
                <w:color w:val="auto"/>
              </w:rPr>
            </w:pPr>
            <w:r>
              <w:rPr>
                <w:rFonts w:cs="Arial"/>
                <w:color w:val="auto"/>
              </w:rPr>
              <w:t>N</w:t>
            </w:r>
            <w:r>
              <w:t>o</w:t>
            </w:r>
            <w:r w:rsidRPr="009E30E2" w:rsidR="00025250">
              <w:rPr>
                <w:rFonts w:cs="Arial"/>
                <w:color w:val="auto"/>
              </w:rPr>
              <w:t xml:space="preserve">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2A5872" w14:paraId="1E006809" w14:textId="1FD74A53">
            <w:pPr>
              <w:rPr>
                <w:color w:val="auto"/>
              </w:rPr>
            </w:pPr>
            <w:r>
              <w:rPr>
                <w:color w:val="auto"/>
              </w:rPr>
              <w:t xml:space="preserve">Cllr. </w:t>
            </w:r>
            <w:r w:rsidR="00DF795E">
              <w:t>Alex Hollingsworth</w:t>
            </w:r>
            <w:r w:rsidRPr="009E30E2" w:rsidR="00025250">
              <w:rPr>
                <w:color w:val="auto"/>
              </w:rPr>
              <w:t xml:space="preserve">, </w:t>
            </w:r>
            <w:r w:rsidR="002B2EE1">
              <w:rPr>
                <w:color w:val="auto"/>
              </w:rPr>
              <w:t xml:space="preserve">Cabinet Member for </w:t>
            </w:r>
            <w:r w:rsidR="00652C6F">
              <w:rPr>
                <w:color w:val="auto"/>
              </w:rPr>
              <w:t>Planning and Culture</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DF795E" w14:paraId="3DF1AC69" w14:textId="230C8F21">
            <w:pPr>
              <w:rPr>
                <w:color w:val="auto"/>
              </w:rPr>
            </w:pPr>
            <w:r>
              <w:rPr>
                <w:color w:val="auto"/>
              </w:rPr>
              <w:t>Thriving Communities</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2A5872" w14:paraId="0AA7D163" w14:textId="6DF0BB4C">
            <w:pPr>
              <w:rPr>
                <w:color w:val="auto"/>
              </w:rPr>
            </w:pPr>
            <w:r>
              <w:rPr>
                <w:color w:val="auto"/>
              </w:rPr>
              <w:t>Thriving Communities Strategy</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0674F83C" w14:paraId="75BF65A5" w14:textId="77777777">
        <w:trPr>
          <w:trHeight w:val="413"/>
        </w:trPr>
        <w:tc>
          <w:tcPr>
            <w:tcW w:w="8845" w:type="dxa"/>
            <w:gridSpan w:val="2"/>
            <w:tcBorders>
              <w:bottom w:val="single" w:color="000000" w:themeColor="text1" w:sz="8" w:space="0"/>
            </w:tcBorders>
          </w:tcPr>
          <w:p w:rsidRPr="00975B07" w:rsidR="00025250" w:rsidP="00662807"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0674F83C"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662807"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tcPr>
          <w:p w:rsidRPr="005C7701" w:rsidR="00025250" w:rsidP="00662807" w:rsidRDefault="009E3BDA" w14:paraId="2D683A1F" w14:textId="1E684786">
            <w:pPr>
              <w:rPr>
                <w:b/>
                <w:bCs/>
              </w:rPr>
            </w:pPr>
            <w:r w:rsidRPr="005C7701">
              <w:rPr>
                <w:rStyle w:val="Firstpagetablebold"/>
                <w:b w:val="0"/>
                <w:bCs/>
              </w:rPr>
              <w:t xml:space="preserve">Charge an entry fee for entry to </w:t>
            </w:r>
            <w:r w:rsidRPr="005C7701" w:rsidR="00A24451">
              <w:rPr>
                <w:rStyle w:val="Firstpagetablebold"/>
                <w:b w:val="0"/>
                <w:bCs/>
              </w:rPr>
              <w:t>the Museum of Oxford</w:t>
            </w:r>
          </w:p>
        </w:tc>
      </w:tr>
      <w:tr w:rsidRPr="00975B07" w:rsidR="00025250" w:rsidTr="0674F83C" w14:paraId="25E85822" w14:textId="77777777">
        <w:trPr>
          <w:trHeight w:val="283"/>
        </w:trPr>
        <w:tc>
          <w:tcPr>
            <w:tcW w:w="426" w:type="dxa"/>
            <w:tcBorders>
              <w:top w:val="nil"/>
              <w:left w:val="single" w:color="000000" w:themeColor="text1" w:sz="8" w:space="0"/>
              <w:bottom w:val="nil"/>
              <w:right w:val="nil"/>
            </w:tcBorders>
          </w:tcPr>
          <w:p w:rsidRPr="00975B07" w:rsidR="00025250" w:rsidP="00662807" w:rsidRDefault="00025250" w14:paraId="65C5A875" w14:textId="77777777">
            <w:r w:rsidRPr="00975B07">
              <w:t>2.</w:t>
            </w:r>
          </w:p>
        </w:tc>
        <w:tc>
          <w:tcPr>
            <w:tcW w:w="8419" w:type="dxa"/>
            <w:tcBorders>
              <w:top w:val="nil"/>
              <w:left w:val="nil"/>
              <w:bottom w:val="nil"/>
              <w:right w:val="single" w:color="000000" w:themeColor="text1" w:sz="8" w:space="0"/>
            </w:tcBorders>
          </w:tcPr>
          <w:p w:rsidRPr="005C7701" w:rsidR="00025250" w:rsidP="00662807" w:rsidRDefault="00F47603" w14:paraId="6ADC7102" w14:textId="0DC7879A">
            <w:pPr>
              <w:rPr>
                <w:bCs/>
              </w:rPr>
            </w:pPr>
            <w:r>
              <w:rPr>
                <w:bCs/>
              </w:rPr>
              <w:t xml:space="preserve">Approve the </w:t>
            </w:r>
            <w:r w:rsidR="00A264A1">
              <w:rPr>
                <w:bCs/>
              </w:rPr>
              <w:t xml:space="preserve">standard </w:t>
            </w:r>
            <w:r>
              <w:rPr>
                <w:bCs/>
              </w:rPr>
              <w:t>entry fee charges as proposed in Appendix 1</w:t>
            </w:r>
          </w:p>
        </w:tc>
      </w:tr>
      <w:tr w:rsidRPr="00975B07" w:rsidR="008E450C" w:rsidTr="0674F83C" w14:paraId="22E10BFD" w14:textId="77777777">
        <w:trPr>
          <w:trHeight w:val="60"/>
        </w:trPr>
        <w:tc>
          <w:tcPr>
            <w:tcW w:w="426" w:type="dxa"/>
            <w:tcBorders>
              <w:top w:val="nil"/>
              <w:left w:val="single" w:color="000000" w:themeColor="text1" w:sz="8" w:space="0"/>
              <w:bottom w:val="nil"/>
              <w:right w:val="nil"/>
            </w:tcBorders>
          </w:tcPr>
          <w:p w:rsidR="008E450C" w:rsidP="008E450C" w:rsidRDefault="008E450C" w14:paraId="201AFF44" w14:textId="77777777">
            <w:r>
              <w:t>3</w:t>
            </w:r>
            <w:r w:rsidRPr="00975B07">
              <w:t>.</w:t>
            </w:r>
          </w:p>
          <w:p w:rsidRPr="00975B07" w:rsidR="008E450C" w:rsidP="00662807" w:rsidRDefault="008E450C" w14:paraId="255096B7" w14:textId="77777777"/>
        </w:tc>
        <w:tc>
          <w:tcPr>
            <w:tcW w:w="8419" w:type="dxa"/>
            <w:tcBorders>
              <w:top w:val="nil"/>
              <w:left w:val="nil"/>
              <w:bottom w:val="nil"/>
              <w:right w:val="single" w:color="000000" w:themeColor="text1" w:sz="8" w:space="0"/>
            </w:tcBorders>
          </w:tcPr>
          <w:p w:rsidRPr="008E450C" w:rsidR="008E450C" w:rsidP="00662807" w:rsidRDefault="008E450C" w14:paraId="1FB2A141" w14:textId="6CBA9614">
            <w:r w:rsidRPr="00A264A1">
              <w:rPr>
                <w:rStyle w:val="Firstpagetablebold"/>
                <w:b w:val="0"/>
              </w:rPr>
              <w:t xml:space="preserve">Approve the concessions eligibility and </w:t>
            </w:r>
            <w:r>
              <w:rPr>
                <w:rStyle w:val="Firstpagetablebold"/>
                <w:b w:val="0"/>
              </w:rPr>
              <w:t xml:space="preserve">concessionary </w:t>
            </w:r>
            <w:r w:rsidRPr="00A264A1">
              <w:rPr>
                <w:rStyle w:val="Firstpagetablebold"/>
                <w:b w:val="0"/>
              </w:rPr>
              <w:t>charges as proposed in Appendix 1</w:t>
            </w:r>
          </w:p>
        </w:tc>
      </w:tr>
      <w:tr w:rsidRPr="00975B07" w:rsidR="00025250" w:rsidTr="0674F83C" w14:paraId="2BFBBF69" w14:textId="77777777">
        <w:trPr>
          <w:trHeight w:val="283"/>
        </w:trPr>
        <w:tc>
          <w:tcPr>
            <w:tcW w:w="426" w:type="dxa"/>
            <w:tcBorders>
              <w:top w:val="nil"/>
              <w:left w:val="single" w:color="000000" w:themeColor="text1" w:sz="8" w:space="0"/>
              <w:bottom w:val="single" w:color="000000" w:themeColor="text1" w:sz="8" w:space="0"/>
              <w:right w:val="nil"/>
            </w:tcBorders>
          </w:tcPr>
          <w:p w:rsidR="00347FBF" w:rsidP="00662807" w:rsidRDefault="00347FBF" w14:paraId="5EEA936D" w14:textId="77777777">
            <w:r>
              <w:t>4.</w:t>
            </w:r>
          </w:p>
          <w:p w:rsidRPr="00975B07" w:rsidR="001232C1" w:rsidP="00662807" w:rsidRDefault="001232C1" w14:paraId="328750F8" w14:textId="2E0F59B6">
            <w:r>
              <w:t>5.</w:t>
            </w:r>
          </w:p>
        </w:tc>
        <w:tc>
          <w:tcPr>
            <w:tcW w:w="8419" w:type="dxa"/>
            <w:tcBorders>
              <w:top w:val="nil"/>
              <w:left w:val="nil"/>
              <w:bottom w:val="single" w:color="000000" w:themeColor="text1" w:sz="8" w:space="0"/>
              <w:right w:val="single" w:color="000000" w:themeColor="text1" w:sz="8" w:space="0"/>
            </w:tcBorders>
          </w:tcPr>
          <w:p w:rsidR="00347FBF" w:rsidP="00662807" w:rsidRDefault="00347FBF" w14:paraId="4907DCC6" w14:textId="77777777">
            <w:pPr>
              <w:rPr>
                <w:bCs/>
              </w:rPr>
            </w:pPr>
            <w:r>
              <w:t>Approve the eligibility for free access as proposed in Appendix 1</w:t>
            </w:r>
          </w:p>
          <w:p w:rsidRPr="00347FBF" w:rsidR="000A02EF" w:rsidP="0674F83C" w:rsidRDefault="000F6499" w14:paraId="0C3A19C8" w14:textId="60A83A45">
            <w:r>
              <w:t xml:space="preserve">Delegate the implementation of </w:t>
            </w:r>
            <w:r w:rsidR="00EA1143">
              <w:t>charging</w:t>
            </w:r>
            <w:r w:rsidR="001232C1">
              <w:t xml:space="preserve"> </w:t>
            </w:r>
            <w:r w:rsidR="004A75A9">
              <w:t>from January 2026</w:t>
            </w:r>
            <w:r>
              <w:t xml:space="preserve"> to the Director of Citizens and Community Services</w:t>
            </w:r>
          </w:p>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62B73EE3" w14:paraId="469C2CEE" w14:textId="77777777">
        <w:trPr>
          <w:trHeight w:val="300"/>
        </w:trPr>
        <w:tc>
          <w:tcPr>
            <w:tcW w:w="1912" w:type="dxa"/>
            <w:tcBorders>
              <w:bottom w:val="single" w:color="auto" w:sz="4" w:space="0"/>
            </w:tcBorders>
          </w:tcPr>
          <w:p w:rsidRPr="003E4C33" w:rsidR="002312EA" w:rsidP="00662807"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P="00662807"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P="00662807"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62B73EE3"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662807"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662807" w:rsidRDefault="000C5DEB" w14:paraId="3E2ED561" w14:textId="71DEC888">
            <w:pPr>
              <w:rPr>
                <w:rFonts w:cs="Arial"/>
                <w:color w:val="auto"/>
              </w:rPr>
            </w:pPr>
            <w:r>
              <w:rPr>
                <w:rFonts w:cs="Arial"/>
                <w:color w:val="auto"/>
              </w:rPr>
              <w:t xml:space="preserve">Museum of Oxford </w:t>
            </w:r>
            <w:r w:rsidR="00F85DC8">
              <w:rPr>
                <w:rFonts w:cs="Arial"/>
                <w:color w:val="auto"/>
              </w:rPr>
              <w:t xml:space="preserve">Entry Fees and </w:t>
            </w:r>
            <w:r>
              <w:rPr>
                <w:rFonts w:cs="Arial"/>
                <w:color w:val="auto"/>
              </w:rPr>
              <w:t>Concess</w:t>
            </w:r>
            <w:r w:rsidR="00BB1C1D">
              <w:rPr>
                <w:rFonts w:cs="Arial"/>
                <w:color w:val="auto"/>
              </w:rPr>
              <w:t>ion</w:t>
            </w:r>
            <w:r w:rsidR="00F85DC8">
              <w:rPr>
                <w:rFonts w:cs="Arial"/>
                <w:color w:val="auto"/>
              </w:rPr>
              <w:t>s Proposal</w:t>
            </w:r>
          </w:p>
        </w:tc>
        <w:tc>
          <w:tcPr>
            <w:tcW w:w="4455" w:type="dxa"/>
            <w:tcBorders>
              <w:top w:val="single" w:color="auto" w:sz="4" w:space="0"/>
              <w:left w:val="single" w:color="auto" w:sz="4" w:space="0"/>
              <w:bottom w:val="single" w:color="auto" w:sz="4" w:space="0"/>
              <w:right w:val="single" w:color="auto" w:sz="4" w:space="0"/>
            </w:tcBorders>
          </w:tcPr>
          <w:p w:rsidRPr="00E562D4" w:rsidR="002312EA" w:rsidP="00E562D4" w:rsidRDefault="00E562D4" w14:paraId="7856CA49" w14:textId="72972185">
            <w:pPr>
              <w:ind w:left="360" w:hanging="360"/>
              <w:rPr>
                <w:rFonts w:cs="Arial"/>
                <w:color w:val="auto"/>
              </w:rPr>
            </w:pPr>
            <w:r>
              <w:rPr>
                <w:rFonts w:cs="Arial"/>
                <w:color w:val="auto"/>
              </w:rPr>
              <w:t>No</w:t>
            </w:r>
          </w:p>
          <w:p w:rsidRPr="009E30E2" w:rsidR="002312EA" w:rsidP="00662807" w:rsidRDefault="002312EA" w14:paraId="349B4576" w14:textId="77777777">
            <w:pPr>
              <w:ind w:left="18" w:hanging="18"/>
              <w:rPr>
                <w:rFonts w:cs="Arial"/>
                <w:color w:val="auto"/>
              </w:rPr>
            </w:pPr>
          </w:p>
        </w:tc>
      </w:tr>
      <w:tr w:rsidRPr="003E4C33" w:rsidR="008940D5" w:rsidTr="00662807" w14:paraId="2E6CCAC9"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8940D5" w:rsidP="00662807" w:rsidRDefault="008940D5" w14:paraId="2A52BD22" w14:textId="3343D1A6">
            <w:pPr>
              <w:rPr>
                <w:rStyle w:val="Firstpagetablebold"/>
                <w:rFonts w:cs="Arial"/>
                <w:color w:val="auto"/>
              </w:rPr>
            </w:pPr>
            <w:r w:rsidRPr="009E30E2">
              <w:rPr>
                <w:rStyle w:val="Firstpagetablebold"/>
                <w:rFonts w:cs="Arial"/>
                <w:color w:val="auto"/>
              </w:rPr>
              <w:t xml:space="preserve">Appendix </w:t>
            </w:r>
            <w:r>
              <w:rPr>
                <w:rStyle w:val="Firstpagetablebold"/>
                <w:rFonts w:cs="Arial"/>
                <w:color w:val="auto"/>
              </w:rPr>
              <w:t>2</w:t>
            </w:r>
          </w:p>
        </w:tc>
        <w:tc>
          <w:tcPr>
            <w:tcW w:w="2803" w:type="dxa"/>
            <w:tcBorders>
              <w:top w:val="single" w:color="auto" w:sz="4" w:space="0"/>
              <w:left w:val="single" w:color="auto" w:sz="4" w:space="0"/>
              <w:bottom w:val="single" w:color="auto" w:sz="4" w:space="0"/>
              <w:right w:val="single" w:color="auto" w:sz="4" w:space="0"/>
            </w:tcBorders>
          </w:tcPr>
          <w:p w:rsidRPr="009E30E2" w:rsidR="008940D5" w:rsidP="00662807" w:rsidRDefault="008940D5" w14:paraId="432E8F0D" w14:textId="2032088E">
            <w:pPr>
              <w:rPr>
                <w:rFonts w:cs="Arial"/>
                <w:color w:val="auto"/>
              </w:rPr>
            </w:pPr>
            <w:r>
              <w:rPr>
                <w:rFonts w:cs="Arial"/>
                <w:color w:val="auto"/>
              </w:rPr>
              <w:t>O</w:t>
            </w:r>
            <w:r>
              <w:t>ptions for increasing income</w:t>
            </w:r>
          </w:p>
        </w:tc>
        <w:tc>
          <w:tcPr>
            <w:tcW w:w="4455" w:type="dxa"/>
            <w:tcBorders>
              <w:top w:val="single" w:color="auto" w:sz="4" w:space="0"/>
              <w:left w:val="single" w:color="auto" w:sz="4" w:space="0"/>
              <w:bottom w:val="single" w:color="auto" w:sz="4" w:space="0"/>
              <w:right w:val="single" w:color="auto" w:sz="4" w:space="0"/>
            </w:tcBorders>
          </w:tcPr>
          <w:p w:rsidRPr="009E30E2" w:rsidR="008940D5" w:rsidP="008940D5" w:rsidRDefault="008940D5" w14:paraId="73FF910E" w14:textId="6F0718CF">
            <w:pPr>
              <w:ind w:left="360" w:hanging="360"/>
              <w:rPr>
                <w:rFonts w:cs="Arial"/>
                <w:color w:val="auto"/>
              </w:rPr>
            </w:pPr>
            <w:r>
              <w:rPr>
                <w:rFonts w:cs="Arial"/>
                <w:color w:val="auto"/>
              </w:rPr>
              <w:t>No</w:t>
            </w:r>
          </w:p>
        </w:tc>
      </w:tr>
      <w:tr w:rsidRPr="003E4C33" w:rsidR="00C257EE" w:rsidTr="00C257EE" w14:paraId="6BF6EEA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C257EE" w:rsidP="00662807" w:rsidRDefault="00C257EE" w14:paraId="042B1A3D" w14:textId="535A9049">
            <w:pPr>
              <w:rPr>
                <w:rStyle w:val="Firstpagetablebold"/>
                <w:rFonts w:cs="Arial"/>
                <w:color w:val="auto"/>
              </w:rPr>
            </w:pPr>
            <w:r w:rsidRPr="009E30E2">
              <w:rPr>
                <w:rStyle w:val="Firstpagetablebold"/>
                <w:rFonts w:cs="Arial"/>
                <w:color w:val="auto"/>
              </w:rPr>
              <w:t xml:space="preserve">Appendix </w:t>
            </w:r>
            <w:r w:rsidR="008940D5">
              <w:rPr>
                <w:rStyle w:val="Firstpagetablebold"/>
                <w:rFonts w:cs="Arial"/>
                <w:color w:val="auto"/>
              </w:rPr>
              <w:t>3</w:t>
            </w:r>
          </w:p>
        </w:tc>
        <w:tc>
          <w:tcPr>
            <w:tcW w:w="2803" w:type="dxa"/>
            <w:tcBorders>
              <w:top w:val="single" w:color="auto" w:sz="4" w:space="0"/>
              <w:left w:val="single" w:color="auto" w:sz="4" w:space="0"/>
              <w:bottom w:val="single" w:color="auto" w:sz="4" w:space="0"/>
              <w:right w:val="single" w:color="auto" w:sz="4" w:space="0"/>
            </w:tcBorders>
          </w:tcPr>
          <w:p w:rsidRPr="009E30E2" w:rsidR="00C257EE" w:rsidP="00662807" w:rsidRDefault="00C257EE" w14:paraId="049A3602" w14:textId="3BC34618">
            <w:pPr>
              <w:rPr>
                <w:rFonts w:cs="Arial"/>
                <w:color w:val="auto"/>
              </w:rPr>
            </w:pPr>
            <w:r>
              <w:rPr>
                <w:rFonts w:cs="Arial"/>
                <w:color w:val="auto"/>
              </w:rPr>
              <w:t>R</w:t>
            </w:r>
            <w:r>
              <w:t>isk Register</w:t>
            </w:r>
          </w:p>
        </w:tc>
        <w:tc>
          <w:tcPr>
            <w:tcW w:w="4455" w:type="dxa"/>
            <w:tcBorders>
              <w:top w:val="single" w:color="auto" w:sz="4" w:space="0"/>
              <w:left w:val="single" w:color="auto" w:sz="4" w:space="0"/>
              <w:bottom w:val="single" w:color="auto" w:sz="4" w:space="0"/>
              <w:right w:val="single" w:color="auto" w:sz="4" w:space="0"/>
            </w:tcBorders>
          </w:tcPr>
          <w:p w:rsidRPr="009E30E2" w:rsidR="00C257EE" w:rsidP="00C257EE" w:rsidRDefault="00C257EE" w14:paraId="1EE25581" w14:textId="2CBB1D92">
            <w:pPr>
              <w:ind w:left="360" w:hanging="360"/>
              <w:rPr>
                <w:rFonts w:cs="Arial"/>
                <w:color w:val="auto"/>
              </w:rPr>
            </w:pPr>
            <w:r>
              <w:rPr>
                <w:rFonts w:cs="Arial"/>
                <w:color w:val="auto"/>
              </w:rPr>
              <w:t>No</w:t>
            </w:r>
          </w:p>
        </w:tc>
      </w:tr>
      <w:tr w:rsidRPr="003E4C33" w:rsidR="00C257EE" w:rsidTr="00C257EE" w14:paraId="5A5F26FF"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C257EE" w:rsidP="00662807" w:rsidRDefault="00C257EE" w14:paraId="7B2E9718" w14:textId="3A28C174">
            <w:pPr>
              <w:rPr>
                <w:rStyle w:val="Firstpagetablebold"/>
                <w:rFonts w:cs="Arial"/>
                <w:color w:val="auto"/>
              </w:rPr>
            </w:pPr>
            <w:r w:rsidRPr="009E30E2">
              <w:rPr>
                <w:rStyle w:val="Firstpagetablebold"/>
                <w:rFonts w:cs="Arial"/>
                <w:color w:val="auto"/>
              </w:rPr>
              <w:t xml:space="preserve">Appendix </w:t>
            </w:r>
            <w:r w:rsidR="008940D5">
              <w:rPr>
                <w:rStyle w:val="Firstpagetablebold"/>
                <w:rFonts w:cs="Arial"/>
                <w:color w:val="auto"/>
              </w:rPr>
              <w:t>4</w:t>
            </w:r>
          </w:p>
        </w:tc>
        <w:tc>
          <w:tcPr>
            <w:tcW w:w="2803" w:type="dxa"/>
            <w:tcBorders>
              <w:top w:val="single" w:color="auto" w:sz="4" w:space="0"/>
              <w:left w:val="single" w:color="auto" w:sz="4" w:space="0"/>
              <w:bottom w:val="single" w:color="auto" w:sz="4" w:space="0"/>
              <w:right w:val="single" w:color="auto" w:sz="4" w:space="0"/>
            </w:tcBorders>
          </w:tcPr>
          <w:p w:rsidRPr="009E30E2" w:rsidR="00C257EE" w:rsidP="00662807" w:rsidRDefault="00C257EE" w14:paraId="45675B7F" w14:textId="3767247C">
            <w:pPr>
              <w:rPr>
                <w:rFonts w:cs="Arial"/>
                <w:color w:val="auto"/>
              </w:rPr>
            </w:pPr>
            <w:r>
              <w:rPr>
                <w:rFonts w:cs="Arial"/>
                <w:color w:val="auto"/>
              </w:rPr>
              <w:t>E</w:t>
            </w:r>
            <w:r>
              <w:t>qualities Impact Assessment</w:t>
            </w:r>
          </w:p>
        </w:tc>
        <w:tc>
          <w:tcPr>
            <w:tcW w:w="4455" w:type="dxa"/>
            <w:tcBorders>
              <w:top w:val="single" w:color="auto" w:sz="4" w:space="0"/>
              <w:left w:val="single" w:color="auto" w:sz="4" w:space="0"/>
              <w:bottom w:val="single" w:color="auto" w:sz="4" w:space="0"/>
              <w:right w:val="single" w:color="auto" w:sz="4" w:space="0"/>
            </w:tcBorders>
          </w:tcPr>
          <w:p w:rsidRPr="009E30E2" w:rsidR="00C257EE" w:rsidP="008940D5" w:rsidRDefault="00C257EE" w14:paraId="600FD4AF" w14:textId="487976A2">
            <w:pPr>
              <w:ind w:left="360" w:hanging="360"/>
              <w:rPr>
                <w:rFonts w:cs="Arial"/>
                <w:color w:val="auto"/>
              </w:rPr>
            </w:pPr>
            <w:r>
              <w:rPr>
                <w:rFonts w:cs="Arial"/>
                <w:color w:val="auto"/>
              </w:rPr>
              <w:t>No</w:t>
            </w:r>
          </w:p>
        </w:tc>
      </w:tr>
      <w:tr w:rsidRPr="003E4C33" w:rsidR="00970539" w:rsidTr="00970539" w14:paraId="39432AC0"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970539" w:rsidP="0045592E" w:rsidRDefault="00970539" w14:paraId="588442D5" w14:textId="076C741D">
            <w:pPr>
              <w:rPr>
                <w:rStyle w:val="Firstpagetablebold"/>
                <w:rFonts w:cs="Arial"/>
                <w:color w:val="auto"/>
              </w:rPr>
            </w:pPr>
            <w:r w:rsidRPr="009E30E2">
              <w:rPr>
                <w:rStyle w:val="Firstpagetablebold"/>
                <w:rFonts w:cs="Arial"/>
                <w:color w:val="auto"/>
              </w:rPr>
              <w:t xml:space="preserve">Appendix </w:t>
            </w:r>
            <w:r>
              <w:rPr>
                <w:rStyle w:val="Firstpagetablebold"/>
                <w:rFonts w:cs="Arial"/>
                <w:color w:val="auto"/>
              </w:rPr>
              <w:t>5</w:t>
            </w:r>
          </w:p>
        </w:tc>
        <w:tc>
          <w:tcPr>
            <w:tcW w:w="2803" w:type="dxa"/>
            <w:tcBorders>
              <w:top w:val="single" w:color="auto" w:sz="4" w:space="0"/>
              <w:left w:val="single" w:color="auto" w:sz="4" w:space="0"/>
              <w:bottom w:val="single" w:color="auto" w:sz="4" w:space="0"/>
              <w:right w:val="single" w:color="auto" w:sz="4" w:space="0"/>
            </w:tcBorders>
          </w:tcPr>
          <w:p w:rsidRPr="009E30E2" w:rsidR="00970539" w:rsidP="0045592E" w:rsidRDefault="00970539" w14:paraId="6504BFF7" w14:textId="36249311">
            <w:pPr>
              <w:rPr>
                <w:rFonts w:cs="Arial"/>
                <w:color w:val="auto"/>
              </w:rPr>
            </w:pPr>
            <w:r>
              <w:rPr>
                <w:rFonts w:cs="Arial"/>
                <w:color w:val="auto"/>
              </w:rPr>
              <w:t>C</w:t>
            </w:r>
            <w:r>
              <w:t>onfidential appendix</w:t>
            </w:r>
          </w:p>
        </w:tc>
        <w:tc>
          <w:tcPr>
            <w:tcW w:w="4455" w:type="dxa"/>
            <w:tcBorders>
              <w:top w:val="single" w:color="auto" w:sz="4" w:space="0"/>
              <w:left w:val="single" w:color="auto" w:sz="4" w:space="0"/>
              <w:bottom w:val="single" w:color="auto" w:sz="4" w:space="0"/>
              <w:right w:val="single" w:color="auto" w:sz="4" w:space="0"/>
            </w:tcBorders>
          </w:tcPr>
          <w:p w:rsidRPr="009E30E2" w:rsidR="00970539" w:rsidP="0045592E" w:rsidRDefault="00970539" w14:paraId="024557BA" w14:textId="44A27ED1">
            <w:pPr>
              <w:ind w:left="360" w:hanging="360"/>
              <w:rPr>
                <w:rFonts w:cs="Arial"/>
                <w:color w:val="auto"/>
              </w:rPr>
            </w:pPr>
            <w:r>
              <w:rPr>
                <w:rFonts w:cs="Arial"/>
                <w:color w:val="auto"/>
              </w:rPr>
              <w:t>Yes</w:t>
            </w:r>
          </w:p>
        </w:tc>
      </w:tr>
    </w:tbl>
    <w:p w:rsidRPr="001356F1" w:rsidR="0040736F" w:rsidP="004A6D2F" w:rsidRDefault="00F66DCA" w14:paraId="50E21B3B" w14:textId="77777777">
      <w:pPr>
        <w:pStyle w:val="Heading1"/>
      </w:pPr>
      <w:r w:rsidRPr="001356F1">
        <w:lastRenderedPageBreak/>
        <w:t>Introduction and b</w:t>
      </w:r>
      <w:r w:rsidRPr="001356F1" w:rsidR="00151888">
        <w:t>ackground</w:t>
      </w:r>
      <w:r w:rsidRPr="001356F1" w:rsidR="00404032">
        <w:t xml:space="preserve"> </w:t>
      </w:r>
    </w:p>
    <w:p w:rsidRPr="00B44C87" w:rsidR="00B44C87" w:rsidP="00B44C87" w:rsidRDefault="00B44C87" w14:paraId="11FD2D72" w14:textId="70A38029">
      <w:pPr>
        <w:pStyle w:val="ListParagraph"/>
        <w:numPr>
          <w:ilvl w:val="0"/>
          <w:numId w:val="37"/>
        </w:numPr>
        <w:ind w:right="-613"/>
        <w:rPr>
          <w:rFonts w:cs="Arial"/>
        </w:rPr>
      </w:pPr>
      <w:r w:rsidRPr="00B44C87">
        <w:t>The Museum of Oxford (</w:t>
      </w:r>
      <w:r w:rsidRPr="00B44C87">
        <w:rPr>
          <w:rFonts w:cs="Arial"/>
        </w:rPr>
        <w:t>MOX) reopened in 2021 following</w:t>
      </w:r>
      <w:r w:rsidR="007013AC">
        <w:rPr>
          <w:rFonts w:cs="Arial"/>
        </w:rPr>
        <w:t xml:space="preserve"> a</w:t>
      </w:r>
      <w:r w:rsidRPr="00B44C87">
        <w:rPr>
          <w:rFonts w:cs="Arial"/>
        </w:rPr>
        <w:t xml:space="preserve"> £2.8m redevelopment which tripled the size of the museum space, provided a new shop, improved facilities and hiring spaces.  Oxford City Council was grateful to receive a grant of £1.86 million from The National Lottery Heritage Fund to help to support the costs of the redevelopment.</w:t>
      </w:r>
    </w:p>
    <w:p w:rsidRPr="00243180" w:rsidR="00B44C87" w:rsidP="00243180" w:rsidRDefault="00B44C87" w14:paraId="7D1C8039" w14:textId="2B13FDFA">
      <w:pPr>
        <w:pStyle w:val="ListParagraph"/>
        <w:numPr>
          <w:ilvl w:val="0"/>
          <w:numId w:val="37"/>
        </w:numPr>
        <w:ind w:right="-613"/>
        <w:rPr>
          <w:rFonts w:cs="Arial"/>
        </w:rPr>
      </w:pPr>
      <w:r w:rsidRPr="00B44C87">
        <w:rPr>
          <w:rFonts w:cs="Arial"/>
        </w:rPr>
        <w:t xml:space="preserve">Feedback </w:t>
      </w:r>
      <w:r w:rsidR="00AF4367">
        <w:rPr>
          <w:rFonts w:cs="Arial"/>
        </w:rPr>
        <w:t xml:space="preserve">about MOX </w:t>
      </w:r>
      <w:r w:rsidRPr="00B44C87">
        <w:rPr>
          <w:rFonts w:cs="Arial"/>
        </w:rPr>
        <w:t>has been excellent including</w:t>
      </w:r>
      <w:r w:rsidR="00D01CBF">
        <w:rPr>
          <w:rFonts w:cs="Arial"/>
        </w:rPr>
        <w:t xml:space="preserve"> </w:t>
      </w:r>
      <w:r w:rsidRPr="00B44C87">
        <w:rPr>
          <w:rFonts w:cs="Arial"/>
        </w:rPr>
        <w:t xml:space="preserve">being rated </w:t>
      </w:r>
      <w:r w:rsidR="00D01CBF">
        <w:rPr>
          <w:rFonts w:cs="Arial"/>
        </w:rPr>
        <w:t xml:space="preserve">an average of </w:t>
      </w:r>
      <w:r w:rsidRPr="00B44C87">
        <w:rPr>
          <w:rFonts w:cs="Arial"/>
        </w:rPr>
        <w:t>4.</w:t>
      </w:r>
      <w:r w:rsidR="00CB059E">
        <w:rPr>
          <w:rFonts w:cs="Arial"/>
        </w:rPr>
        <w:t>6</w:t>
      </w:r>
      <w:r w:rsidRPr="00B44C87">
        <w:rPr>
          <w:rFonts w:cs="Arial"/>
        </w:rPr>
        <w:t>/5 on Trip Advisor</w:t>
      </w:r>
      <w:r w:rsidR="00977AD5">
        <w:rPr>
          <w:rFonts w:cs="Arial"/>
        </w:rPr>
        <w:t xml:space="preserve">, </w:t>
      </w:r>
      <w:r w:rsidR="009D5649">
        <w:rPr>
          <w:rFonts w:cs="Arial"/>
        </w:rPr>
        <w:t xml:space="preserve">with over </w:t>
      </w:r>
      <w:r w:rsidRPr="00B44C87">
        <w:rPr>
          <w:rFonts w:cs="Arial"/>
        </w:rPr>
        <w:t xml:space="preserve">88% of </w:t>
      </w:r>
      <w:r w:rsidR="00977AD5">
        <w:rPr>
          <w:rFonts w:cs="Arial"/>
        </w:rPr>
        <w:t xml:space="preserve">visitors </w:t>
      </w:r>
      <w:r w:rsidRPr="00B44C87">
        <w:rPr>
          <w:rFonts w:cs="Arial"/>
        </w:rPr>
        <w:t xml:space="preserve">being very/extremely likely to recommend it to others.  </w:t>
      </w:r>
      <w:r w:rsidR="00352541">
        <w:rPr>
          <w:rFonts w:cs="Arial"/>
        </w:rPr>
        <w:t>Museum s</w:t>
      </w:r>
      <w:r w:rsidR="00417169">
        <w:rPr>
          <w:rFonts w:cs="Arial"/>
        </w:rPr>
        <w:t xml:space="preserve">taff are regularly praised in reviews and </w:t>
      </w:r>
      <w:r w:rsidR="00AA28F1">
        <w:rPr>
          <w:rFonts w:cs="Arial"/>
        </w:rPr>
        <w:t xml:space="preserve">MOX </w:t>
      </w:r>
      <w:r w:rsidR="00633ABD">
        <w:rPr>
          <w:rFonts w:cs="Arial"/>
        </w:rPr>
        <w:t xml:space="preserve">was awarded </w:t>
      </w:r>
      <w:r w:rsidR="0084318D">
        <w:rPr>
          <w:rFonts w:cs="Arial"/>
        </w:rPr>
        <w:t>a Trip Advisor ‘Travellers’ Choice</w:t>
      </w:r>
      <w:r w:rsidR="00B92145">
        <w:rPr>
          <w:rFonts w:cs="Arial"/>
        </w:rPr>
        <w:t>’ commendation</w:t>
      </w:r>
      <w:r w:rsidR="00AA28F1">
        <w:rPr>
          <w:rFonts w:cs="Arial"/>
        </w:rPr>
        <w:t xml:space="preserve"> </w:t>
      </w:r>
      <w:r w:rsidR="0084318D">
        <w:rPr>
          <w:rFonts w:cs="Arial"/>
        </w:rPr>
        <w:t>in 2025.</w:t>
      </w:r>
    </w:p>
    <w:p w:rsidRPr="00D526C4" w:rsidR="00B44C87" w:rsidP="00357D06" w:rsidRDefault="00243180" w14:paraId="67ECBA95" w14:textId="045C12A9">
      <w:pPr>
        <w:pStyle w:val="ListParagraph"/>
        <w:numPr>
          <w:ilvl w:val="0"/>
          <w:numId w:val="37"/>
        </w:numPr>
        <w:ind w:right="-200"/>
        <w:rPr>
          <w:rFonts w:cs="Arial"/>
        </w:rPr>
      </w:pPr>
      <w:r>
        <w:rPr>
          <w:rFonts w:cs="Arial"/>
        </w:rPr>
        <w:t>I</w:t>
      </w:r>
      <w:r w:rsidRPr="00B44C87" w:rsidR="00B44C87">
        <w:rPr>
          <w:rFonts w:cs="Arial"/>
        </w:rPr>
        <w:t xml:space="preserve">n line with the national picture, </w:t>
      </w:r>
      <w:r>
        <w:rPr>
          <w:rFonts w:cs="Arial"/>
        </w:rPr>
        <w:t xml:space="preserve">however, </w:t>
      </w:r>
      <w:r w:rsidRPr="00B44C87" w:rsidR="00B44C87">
        <w:rPr>
          <w:rFonts w:cs="Arial"/>
        </w:rPr>
        <w:t>footfall has reduced.  Whilst MOX welcomed 55,000 visitors in 2024-5</w:t>
      </w:r>
      <w:r w:rsidR="005C432B">
        <w:rPr>
          <w:rFonts w:cs="Arial"/>
        </w:rPr>
        <w:t>,</w:t>
      </w:r>
      <w:r w:rsidRPr="00B44C87" w:rsidR="00B44C87">
        <w:rPr>
          <w:rFonts w:cs="Arial"/>
        </w:rPr>
        <w:t xml:space="preserve"> which is a good result for a museum of its size in the current climate, it is </w:t>
      </w:r>
      <w:r w:rsidR="00F52B8F">
        <w:rPr>
          <w:rFonts w:cs="Arial"/>
        </w:rPr>
        <w:t xml:space="preserve">significantly </w:t>
      </w:r>
      <w:r w:rsidRPr="00B44C87" w:rsidR="00B44C87">
        <w:rPr>
          <w:rFonts w:cs="Arial"/>
        </w:rPr>
        <w:t xml:space="preserve">lower than the 74,000 visitors per year welcomed prior to the redevelopment and only 55% of the 100,000 annual footfall anticipated in the business plan for the expanded offer.  This </w:t>
      </w:r>
      <w:r w:rsidR="00DD50FD">
        <w:rPr>
          <w:rFonts w:cs="Arial"/>
        </w:rPr>
        <w:t xml:space="preserve">left an </w:t>
      </w:r>
      <w:r w:rsidRPr="00B44C87" w:rsidR="00B44C87">
        <w:rPr>
          <w:rFonts w:cs="Arial"/>
        </w:rPr>
        <w:t xml:space="preserve">unbudgeted revenue pressure for the Council of £77K </w:t>
      </w:r>
      <w:r w:rsidR="00DD50FD">
        <w:rPr>
          <w:rFonts w:cs="Arial"/>
        </w:rPr>
        <w:t>in 2024-5.</w:t>
      </w:r>
    </w:p>
    <w:p w:rsidR="00F07D19" w:rsidP="00F07D19" w:rsidRDefault="00B44C87" w14:paraId="628FC76B" w14:textId="77777777">
      <w:pPr>
        <w:pStyle w:val="ListParagraph"/>
        <w:numPr>
          <w:ilvl w:val="0"/>
          <w:numId w:val="37"/>
        </w:numPr>
        <w:ind w:right="-200"/>
        <w:rPr>
          <w:rFonts w:cs="Arial"/>
        </w:rPr>
      </w:pPr>
      <w:r w:rsidRPr="00F07D19">
        <w:rPr>
          <w:rFonts w:cs="Arial"/>
        </w:rPr>
        <w:t>Four years on, after a reasonable adjustment period following reopening, a new model of operation is required to maximise the benefits of the museum and secure its longer term sustainability.</w:t>
      </w:r>
      <w:r w:rsidRPr="00F07D19" w:rsidR="00606F46">
        <w:rPr>
          <w:rFonts w:cs="Arial"/>
        </w:rPr>
        <w:t xml:space="preserve"> </w:t>
      </w:r>
    </w:p>
    <w:p w:rsidRPr="006A428B" w:rsidR="00C31B30" w:rsidP="00E264DA" w:rsidRDefault="007C1E35" w14:paraId="2D52EF89" w14:textId="010D8B01">
      <w:pPr>
        <w:pStyle w:val="ListParagraph"/>
        <w:numPr>
          <w:ilvl w:val="0"/>
          <w:numId w:val="37"/>
        </w:numPr>
        <w:ind w:right="-200"/>
        <w:rPr>
          <w:rFonts w:cs="Arial"/>
        </w:rPr>
      </w:pPr>
      <w:r>
        <w:t xml:space="preserve">A report entitled </w:t>
      </w:r>
      <w:hyperlink w:history="1" r:id="rId11">
        <w:r w:rsidRPr="00E64380" w:rsidR="004A2519">
          <w:rPr>
            <w:rStyle w:val="Hyperlink"/>
          </w:rPr>
          <w:t>Research into Admissions Pricing Policy in museums and its Impact: Success Guide</w:t>
        </w:r>
      </w:hyperlink>
      <w:r w:rsidRPr="00F07D19" w:rsidR="004A2519">
        <w:rPr>
          <w:rFonts w:cs="Arial"/>
          <w:i/>
          <w:iCs/>
        </w:rPr>
        <w:t xml:space="preserve"> </w:t>
      </w:r>
      <w:r w:rsidRPr="00F07D19" w:rsidR="00522401">
        <w:rPr>
          <w:rFonts w:cs="Arial"/>
        </w:rPr>
        <w:t>in 2023</w:t>
      </w:r>
      <w:r w:rsidRPr="00F07D19" w:rsidR="00452B83">
        <w:rPr>
          <w:rFonts w:cs="Arial"/>
        </w:rPr>
        <w:t>,</w:t>
      </w:r>
      <w:r w:rsidRPr="00F07D19" w:rsidR="00522401">
        <w:rPr>
          <w:rFonts w:cs="Arial"/>
          <w:i/>
          <w:iCs/>
        </w:rPr>
        <w:t xml:space="preserve"> </w:t>
      </w:r>
      <w:r w:rsidRPr="00F07D19" w:rsidR="00B533F9">
        <w:rPr>
          <w:rFonts w:cs="Arial"/>
        </w:rPr>
        <w:t xml:space="preserve">which included representatives from </w:t>
      </w:r>
      <w:r w:rsidRPr="00F07D19" w:rsidR="00422A42">
        <w:rPr>
          <w:rFonts w:cs="Arial"/>
        </w:rPr>
        <w:t xml:space="preserve">Arts Council </w:t>
      </w:r>
      <w:r w:rsidRPr="00F07D19" w:rsidR="00B533F9">
        <w:rPr>
          <w:rFonts w:cs="Arial"/>
        </w:rPr>
        <w:t>England</w:t>
      </w:r>
      <w:r w:rsidRPr="00F07D19" w:rsidR="00C31B30">
        <w:rPr>
          <w:rFonts w:cs="Arial"/>
        </w:rPr>
        <w:t>,</w:t>
      </w:r>
      <w:r w:rsidRPr="00F07D19" w:rsidR="00B533F9">
        <w:rPr>
          <w:rFonts w:cs="Arial"/>
        </w:rPr>
        <w:t xml:space="preserve"> </w:t>
      </w:r>
      <w:r w:rsidR="00B533F9">
        <w:t xml:space="preserve">the Association of Independent Museums, Museums Galleries Scotland, the Welsh Government, the National Museum Directors’ Council and the Art Fund </w:t>
      </w:r>
      <w:r w:rsidR="00DF131B">
        <w:t xml:space="preserve">on the steering board, </w:t>
      </w:r>
      <w:r w:rsidR="00A74EB7">
        <w:t xml:space="preserve">stated that </w:t>
      </w:r>
      <w:r w:rsidR="002A785D">
        <w:t xml:space="preserve">that </w:t>
      </w:r>
      <w:r w:rsidRPr="00F07D19" w:rsidR="00A74EB7">
        <w:rPr>
          <w:i/>
          <w:iCs/>
        </w:rPr>
        <w:t xml:space="preserve">“the </w:t>
      </w:r>
      <w:r w:rsidRPr="00F07D19" w:rsidR="002A785D">
        <w:rPr>
          <w:i/>
          <w:iCs/>
        </w:rPr>
        <w:t>move from free entry to charging for admissions highlight</w:t>
      </w:r>
      <w:r w:rsidR="00345091">
        <w:rPr>
          <w:i/>
          <w:iCs/>
        </w:rPr>
        <w:t>s</w:t>
      </w:r>
      <w:r w:rsidRPr="00F07D19" w:rsidR="002A785D">
        <w:rPr>
          <w:i/>
          <w:iCs/>
        </w:rPr>
        <w:t xml:space="preserve"> the most positive impact being a rise in total admissions income, followed by positive impacts on the number of visitors and the dwell time of visitors. Beyond that, many museums highlighted that there was no change in impacts, although some suggested that there were negative aspects around fewer visitors and a reduction in on-site spontaneous donations</w:t>
      </w:r>
      <w:r w:rsidRPr="00F07D19" w:rsidR="00A74EB7">
        <w:rPr>
          <w:i/>
          <w:iCs/>
        </w:rPr>
        <w:t>.”</w:t>
      </w:r>
    </w:p>
    <w:p w:rsidRPr="00F07D19" w:rsidR="006A428B" w:rsidP="006A428B" w:rsidRDefault="006A428B" w14:paraId="40BE9942" w14:textId="77777777">
      <w:pPr>
        <w:pStyle w:val="ListParagraph"/>
        <w:numPr>
          <w:ilvl w:val="0"/>
          <w:numId w:val="0"/>
        </w:numPr>
        <w:ind w:left="360" w:right="-200"/>
        <w:rPr>
          <w:rFonts w:cs="Arial"/>
        </w:rPr>
      </w:pPr>
    </w:p>
    <w:p w:rsidRPr="00AF3A8E" w:rsidR="00AF3A8E" w:rsidP="00AF3A8E" w:rsidRDefault="006233F7" w14:paraId="675CD598" w14:textId="3075ABF7">
      <w:pPr>
        <w:pStyle w:val="ListParagraph"/>
        <w:numPr>
          <w:ilvl w:val="0"/>
          <w:numId w:val="0"/>
        </w:numPr>
        <w:ind w:left="360"/>
        <w:rPr>
          <w:b/>
          <w:bCs/>
        </w:rPr>
      </w:pPr>
      <w:r w:rsidRPr="00AF3A8E">
        <w:rPr>
          <w:b/>
          <w:bCs/>
        </w:rPr>
        <w:t xml:space="preserve">Challenges and </w:t>
      </w:r>
      <w:r w:rsidRPr="00AF3A8E" w:rsidR="00784213">
        <w:rPr>
          <w:b/>
          <w:bCs/>
        </w:rPr>
        <w:t xml:space="preserve">Opportunities </w:t>
      </w:r>
    </w:p>
    <w:p w:rsidR="00E04215" w:rsidP="00F21CB4" w:rsidRDefault="00F21CB4" w14:paraId="53A2A171" w14:textId="22EC8952">
      <w:pPr>
        <w:pStyle w:val="ListParagraph"/>
      </w:pPr>
      <w:r w:rsidRPr="00811518">
        <w:t xml:space="preserve">Whilst the offer at MOX is greatly appreciated by those who visit, marketing the museum is challenging in a competitive market which includes world renowned museums such as the Ashmolean and National History Museum Oxford.  MOX is housed in a civic building without any ‘shop window’ visible at street level and it isn’t immediately clear what the building is for and who is allowed access.  Conservation restrictions limit what is possible in this regard.  </w:t>
      </w:r>
    </w:p>
    <w:p w:rsidRPr="00811518" w:rsidR="00F21CB4" w:rsidP="00F21CB4" w:rsidRDefault="00F21CB4" w14:paraId="2383F27A" w14:textId="6E67BB79">
      <w:pPr>
        <w:pStyle w:val="ListParagraph"/>
      </w:pPr>
      <w:r w:rsidRPr="00811518">
        <w:t xml:space="preserve">In an attempt to compete and to be inclusive, visitors have been given free access, but </w:t>
      </w:r>
      <w:r w:rsidR="00B718FE">
        <w:t xml:space="preserve">it is possible that the </w:t>
      </w:r>
      <w:r w:rsidRPr="00811518">
        <w:t xml:space="preserve">free entry </w:t>
      </w:r>
      <w:r w:rsidR="00AF25F9">
        <w:t>may have</w:t>
      </w:r>
      <w:r w:rsidRPr="00811518">
        <w:t xml:space="preserve"> had a negative impact on visitor’s perception of the potential quality of the offer and therefore tourists and residents from Oxford’s diverse communities </w:t>
      </w:r>
      <w:r w:rsidR="00A37A86">
        <w:t xml:space="preserve">may </w:t>
      </w:r>
      <w:r w:rsidRPr="00811518">
        <w:t xml:space="preserve">have missed the opportunity to learn more about the history of the city and its people.  </w:t>
      </w:r>
    </w:p>
    <w:p w:rsidRPr="00811518" w:rsidR="00A43D63" w:rsidP="00A43D63" w:rsidRDefault="00A43D63" w14:paraId="4AD74F97" w14:textId="654BE32A">
      <w:pPr>
        <w:pStyle w:val="ListParagraph"/>
      </w:pPr>
      <w:r w:rsidRPr="00811518">
        <w:t xml:space="preserve">Contrary to </w:t>
      </w:r>
      <w:r>
        <w:t>initial</w:t>
      </w:r>
      <w:r w:rsidRPr="00811518">
        <w:t xml:space="preserve"> expectations, where charges have been implemented at MOX for previously free programme activities, more people have attended and the dwell time has also increased.  The income has also contributed towards the increasing costs of running the museum.  </w:t>
      </w:r>
    </w:p>
    <w:p w:rsidR="00224ADB" w:rsidP="006A428B" w:rsidRDefault="00A43D63" w14:paraId="0C8AEE69" w14:textId="6C1C275A">
      <w:pPr>
        <w:pStyle w:val="ListParagraph"/>
      </w:pPr>
      <w:r>
        <w:t xml:space="preserve">Introducing a </w:t>
      </w:r>
      <w:r w:rsidRPr="00811518">
        <w:t xml:space="preserve">charging model for entry </w:t>
      </w:r>
      <w:r>
        <w:t xml:space="preserve">to </w:t>
      </w:r>
      <w:r w:rsidRPr="00811518">
        <w:t xml:space="preserve">MOX </w:t>
      </w:r>
      <w:r>
        <w:t xml:space="preserve">will </w:t>
      </w:r>
      <w:r w:rsidRPr="00811518">
        <w:t xml:space="preserve">build on this.  </w:t>
      </w:r>
      <w:r>
        <w:t xml:space="preserve">It will also </w:t>
      </w:r>
      <w:r w:rsidRPr="00811518">
        <w:t xml:space="preserve">give </w:t>
      </w:r>
      <w:r w:rsidR="00F703A1">
        <w:t xml:space="preserve">the </w:t>
      </w:r>
      <w:r w:rsidR="0012614F">
        <w:t xml:space="preserve">team </w:t>
      </w:r>
      <w:r w:rsidRPr="00811518">
        <w:t xml:space="preserve">an opportunity to </w:t>
      </w:r>
      <w:r>
        <w:t xml:space="preserve">capture data about attendees and enable </w:t>
      </w:r>
      <w:r w:rsidR="0012614F">
        <w:t xml:space="preserve">the council </w:t>
      </w:r>
      <w:r>
        <w:t xml:space="preserve">to </w:t>
      </w:r>
      <w:r w:rsidRPr="00811518">
        <w:t>work in partnership to drive more footfall and income whilst also increasing the diversity of visitors.</w:t>
      </w:r>
    </w:p>
    <w:p w:rsidRPr="00C83E91" w:rsidR="00C83E91" w:rsidP="00C83E91" w:rsidRDefault="00C83E91" w14:paraId="04B515F1" w14:textId="0269708F">
      <w:pPr>
        <w:pStyle w:val="ListParagraph"/>
      </w:pPr>
      <w:r w:rsidRPr="00C83E91">
        <w:lastRenderedPageBreak/>
        <w:t>We have considered the need to promote education by allowing free entry for under 5s, providing funded learning activities and concessionary rates for schools, students and other groups</w:t>
      </w:r>
      <w:r w:rsidR="0019759C">
        <w:t>,</w:t>
      </w:r>
      <w:r w:rsidRPr="0019759C" w:rsidR="0019759C">
        <w:t xml:space="preserve"> </w:t>
      </w:r>
      <w:r w:rsidR="0019759C">
        <w:t>including a free downloadable audio guide</w:t>
      </w:r>
      <w:r w:rsidRPr="00C83E91">
        <w:t xml:space="preserve"> and allowing 12 free to enter days per year for everyone.</w:t>
      </w:r>
    </w:p>
    <w:p w:rsidR="00224ADB" w:rsidP="00E07BA7" w:rsidRDefault="00C83E91" w14:paraId="5A1881E9" w14:textId="4B707731">
      <w:pPr>
        <w:pStyle w:val="ListParagraph"/>
      </w:pPr>
      <w:r w:rsidRPr="00C83E91">
        <w:t>The council also leads Oxford Cultural Education Partnership providing cultural education directly in and for schools.</w:t>
      </w:r>
    </w:p>
    <w:p w:rsidRPr="00E07BA7" w:rsidR="00E07BA7" w:rsidP="00E07BA7" w:rsidRDefault="00E07BA7" w14:paraId="7E4B3157" w14:textId="77777777">
      <w:pPr>
        <w:pStyle w:val="ListParagraph"/>
        <w:numPr>
          <w:ilvl w:val="0"/>
          <w:numId w:val="0"/>
        </w:numPr>
        <w:ind w:left="360"/>
      </w:pPr>
    </w:p>
    <w:p w:rsidRPr="00AF3A8E" w:rsidR="006D78F2" w:rsidP="00AF3A8E" w:rsidRDefault="00AF3A8E" w14:paraId="6B200740" w14:textId="5BA8141D">
      <w:pPr>
        <w:pStyle w:val="ListParagraph"/>
        <w:numPr>
          <w:ilvl w:val="0"/>
          <w:numId w:val="0"/>
        </w:numPr>
        <w:ind w:left="360"/>
        <w:rPr>
          <w:b/>
          <w:bCs/>
        </w:rPr>
      </w:pPr>
      <w:r>
        <w:rPr>
          <w:b/>
          <w:bCs/>
        </w:rPr>
        <w:t>Working in Partnership</w:t>
      </w:r>
    </w:p>
    <w:p w:rsidR="00E07BA7" w:rsidP="00E07BA7" w:rsidRDefault="009959E3" w14:paraId="3904B9EB" w14:textId="398B5289">
      <w:pPr>
        <w:pStyle w:val="ListParagraph"/>
        <w:rPr>
          <w:rFonts w:cs="Arial"/>
        </w:rPr>
      </w:pPr>
      <w:r>
        <w:rPr>
          <w:rFonts w:cs="Arial"/>
        </w:rPr>
        <w:t>There is an opportunity to work in partnership by offering joint tickets with other visitor</w:t>
      </w:r>
      <w:r w:rsidR="002B0CB6">
        <w:rPr>
          <w:rFonts w:cs="Arial"/>
        </w:rPr>
        <w:t xml:space="preserve"> attractions</w:t>
      </w:r>
      <w:r>
        <w:rPr>
          <w:rFonts w:cs="Arial"/>
        </w:rPr>
        <w:t xml:space="preserve">.  This would increase the </w:t>
      </w:r>
      <w:r w:rsidR="00235138">
        <w:rPr>
          <w:rFonts w:cs="Arial"/>
        </w:rPr>
        <w:t>number of sales points</w:t>
      </w:r>
      <w:r>
        <w:rPr>
          <w:rFonts w:cs="Arial"/>
        </w:rPr>
        <w:t xml:space="preserve">, </w:t>
      </w:r>
      <w:r w:rsidR="00235138">
        <w:rPr>
          <w:rFonts w:cs="Arial"/>
        </w:rPr>
        <w:t xml:space="preserve">raise more </w:t>
      </w:r>
      <w:r>
        <w:rPr>
          <w:rFonts w:cs="Arial"/>
        </w:rPr>
        <w:t xml:space="preserve">awareness and drive more footfall to the museum.  </w:t>
      </w:r>
      <w:r w:rsidR="00235138">
        <w:rPr>
          <w:rFonts w:cs="Arial"/>
        </w:rPr>
        <w:t xml:space="preserve">It would also enable the museum to benefit from </w:t>
      </w:r>
      <w:r w:rsidR="00890D55">
        <w:rPr>
          <w:rFonts w:cs="Arial"/>
        </w:rPr>
        <w:t xml:space="preserve">increased </w:t>
      </w:r>
      <w:r w:rsidR="002B0CB6">
        <w:rPr>
          <w:rFonts w:cs="Arial"/>
        </w:rPr>
        <w:t>marketing resources</w:t>
      </w:r>
      <w:r w:rsidR="00890D55">
        <w:rPr>
          <w:rFonts w:cs="Arial"/>
        </w:rPr>
        <w:t>.</w:t>
      </w:r>
      <w:r w:rsidR="002B0CB6">
        <w:rPr>
          <w:rFonts w:cs="Arial"/>
        </w:rPr>
        <w:t xml:space="preserve"> </w:t>
      </w:r>
    </w:p>
    <w:p w:rsidRPr="00E07BA7" w:rsidR="00E07BA7" w:rsidP="00E07BA7" w:rsidRDefault="00E07BA7" w14:paraId="433CD98B" w14:textId="77777777">
      <w:pPr>
        <w:pStyle w:val="ListParagraph"/>
        <w:numPr>
          <w:ilvl w:val="0"/>
          <w:numId w:val="0"/>
        </w:numPr>
        <w:ind w:left="360"/>
        <w:rPr>
          <w:rFonts w:cs="Arial"/>
        </w:rPr>
      </w:pPr>
    </w:p>
    <w:p w:rsidRPr="00AF3A8E" w:rsidR="00113FFE" w:rsidP="00AF3A8E" w:rsidRDefault="00113FFE" w14:paraId="51497008" w14:textId="2EB99320">
      <w:pPr>
        <w:pStyle w:val="ListParagraph"/>
        <w:numPr>
          <w:ilvl w:val="0"/>
          <w:numId w:val="0"/>
        </w:numPr>
        <w:ind w:left="360"/>
        <w:rPr>
          <w:b/>
          <w:bCs/>
        </w:rPr>
      </w:pPr>
      <w:r w:rsidRPr="00AF3A8E">
        <w:rPr>
          <w:rFonts w:eastAsia="Calibri"/>
          <w:b/>
          <w:bCs/>
        </w:rPr>
        <w:t>Key</w:t>
      </w:r>
      <w:r w:rsidRPr="00AF3A8E" w:rsidR="00F95089">
        <w:rPr>
          <w:rFonts w:eastAsia="Calibri"/>
          <w:b/>
          <w:bCs/>
        </w:rPr>
        <w:t xml:space="preserve"> Features of the Charging Proposal</w:t>
      </w:r>
    </w:p>
    <w:p w:rsidRPr="00A43D63" w:rsidR="00A43D63" w:rsidP="00A43D63" w:rsidRDefault="00A43D63" w14:paraId="5A857222" w14:textId="0838D926">
      <w:pPr>
        <w:pStyle w:val="ListParagraph"/>
        <w:rPr>
          <w:rFonts w:eastAsia="Calibri"/>
        </w:rPr>
      </w:pPr>
      <w:r>
        <w:rPr>
          <w:rFonts w:eastAsia="Calibri"/>
        </w:rPr>
        <w:t>In order to maintain access</w:t>
      </w:r>
      <w:r w:rsidR="005E06F3">
        <w:rPr>
          <w:rFonts w:eastAsia="Calibri"/>
        </w:rPr>
        <w:t xml:space="preserve">, </w:t>
      </w:r>
      <w:r>
        <w:rPr>
          <w:rFonts w:eastAsia="Calibri"/>
        </w:rPr>
        <w:t xml:space="preserve">and </w:t>
      </w:r>
      <w:r w:rsidRPr="005E38B6">
        <w:rPr>
          <w:rFonts w:eastAsia="Calibri"/>
        </w:rPr>
        <w:t xml:space="preserve">create more </w:t>
      </w:r>
      <w:r w:rsidRPr="005E38B6" w:rsidR="005E06F3">
        <w:rPr>
          <w:rFonts w:eastAsia="Calibri"/>
        </w:rPr>
        <w:t xml:space="preserve">educational and </w:t>
      </w:r>
      <w:r w:rsidRPr="005E38B6">
        <w:rPr>
          <w:rFonts w:eastAsia="Calibri"/>
        </w:rPr>
        <w:t>promotional</w:t>
      </w:r>
      <w:r>
        <w:rPr>
          <w:rFonts w:eastAsia="Calibri"/>
        </w:rPr>
        <w:t xml:space="preserve"> opportunities, </w:t>
      </w:r>
      <w:r w:rsidR="00E05D08">
        <w:rPr>
          <w:rFonts w:eastAsia="Calibri"/>
        </w:rPr>
        <w:t xml:space="preserve">the </w:t>
      </w:r>
      <w:r>
        <w:rPr>
          <w:rFonts w:eastAsia="Calibri"/>
        </w:rPr>
        <w:t>propos</w:t>
      </w:r>
      <w:r w:rsidR="00E05D08">
        <w:rPr>
          <w:rFonts w:eastAsia="Calibri"/>
        </w:rPr>
        <w:t>al is</w:t>
      </w:r>
      <w:r>
        <w:rPr>
          <w:rFonts w:eastAsia="Calibri"/>
        </w:rPr>
        <w:t xml:space="preserve"> to have 12 entry-free days a year to coincide with relevant events e.g. Oxford Open Doors and the Christmas Light Festival. </w:t>
      </w:r>
    </w:p>
    <w:p w:rsidRPr="00A43D63" w:rsidR="00A43D63" w:rsidP="00A43D63" w:rsidRDefault="00A43D63" w14:paraId="403EF7EE" w14:textId="4E445D44">
      <w:pPr>
        <w:pStyle w:val="ListParagraph"/>
        <w:rPr>
          <w:rFonts w:eastAsiaTheme="minorEastAsia"/>
          <w:lang w:val="en-US"/>
        </w:rPr>
      </w:pPr>
      <w:r w:rsidRPr="00811518">
        <w:rPr>
          <w:rFonts w:eastAsiaTheme="minorEastAsia"/>
          <w:lang w:val="en-US"/>
        </w:rPr>
        <w:t xml:space="preserve">Moving to a charging model will increase data collection and give </w:t>
      </w:r>
      <w:r w:rsidR="006E7A5A">
        <w:rPr>
          <w:rFonts w:eastAsiaTheme="minorEastAsia"/>
          <w:lang w:val="en-US"/>
        </w:rPr>
        <w:t xml:space="preserve">the team </w:t>
      </w:r>
      <w:r w:rsidRPr="00811518">
        <w:rPr>
          <w:rFonts w:eastAsiaTheme="minorEastAsia"/>
          <w:lang w:val="en-US"/>
        </w:rPr>
        <w:t xml:space="preserve">the ability to do wider promotions e.g. at the shop.  </w:t>
      </w:r>
    </w:p>
    <w:p w:rsidRPr="00A43D63" w:rsidR="00A43D63" w:rsidP="00A43D63" w:rsidRDefault="00A43D63" w14:paraId="66465CB4" w14:textId="596496CB">
      <w:pPr>
        <w:pStyle w:val="ListParagraph"/>
        <w:rPr>
          <w:rFonts w:eastAsiaTheme="minorEastAsia"/>
          <w:lang w:val="en-US"/>
        </w:rPr>
      </w:pPr>
      <w:r>
        <w:rPr>
          <w:rFonts w:eastAsiaTheme="minorEastAsia"/>
          <w:lang w:val="en-US"/>
        </w:rPr>
        <w:t xml:space="preserve">It is expected </w:t>
      </w:r>
      <w:r w:rsidRPr="00811518">
        <w:rPr>
          <w:rFonts w:eastAsiaTheme="minorEastAsia"/>
          <w:lang w:val="en-US"/>
        </w:rPr>
        <w:t xml:space="preserve">that this low-cost charging model will not only assist the longer-term sustainability of the museum but also increase its use and public benefit. </w:t>
      </w:r>
    </w:p>
    <w:p w:rsidR="00C51BD7" w:rsidP="002B6836" w:rsidRDefault="0007538F" w14:paraId="265B8740" w14:textId="77777777">
      <w:pPr>
        <w:pStyle w:val="ListParagraph"/>
        <w:rPr>
          <w:rFonts w:eastAsiaTheme="minorEastAsia"/>
          <w:lang w:val="en-US"/>
        </w:rPr>
      </w:pPr>
      <w:r>
        <w:rPr>
          <w:rFonts w:eastAsiaTheme="minorEastAsia"/>
          <w:lang w:val="en-US"/>
        </w:rPr>
        <w:t>F</w:t>
      </w:r>
      <w:r w:rsidRPr="00811518" w:rsidR="00A43D63">
        <w:rPr>
          <w:rFonts w:eastAsiaTheme="minorEastAsia"/>
          <w:lang w:val="en-US"/>
        </w:rPr>
        <w:t xml:space="preserve">ree access </w:t>
      </w:r>
      <w:r>
        <w:rPr>
          <w:rFonts w:eastAsiaTheme="minorEastAsia"/>
          <w:lang w:val="en-US"/>
        </w:rPr>
        <w:t xml:space="preserve">will be maintained for </w:t>
      </w:r>
      <w:r w:rsidRPr="00811518" w:rsidR="00A43D63">
        <w:rPr>
          <w:rFonts w:eastAsiaTheme="minorEastAsia"/>
          <w:lang w:val="en-US"/>
        </w:rPr>
        <w:t xml:space="preserve">funded </w:t>
      </w:r>
      <w:proofErr w:type="spellStart"/>
      <w:r w:rsidRPr="00811518" w:rsidR="00A43D63">
        <w:rPr>
          <w:rFonts w:eastAsiaTheme="minorEastAsia"/>
          <w:lang w:val="en-US"/>
        </w:rPr>
        <w:t>programmes</w:t>
      </w:r>
      <w:proofErr w:type="spellEnd"/>
      <w:r w:rsidRPr="00811518" w:rsidR="00A43D63">
        <w:rPr>
          <w:rFonts w:eastAsiaTheme="minorEastAsia"/>
          <w:lang w:val="en-US"/>
        </w:rPr>
        <w:t xml:space="preserve"> and for residents on special occasions e.g. as part of our 50</w:t>
      </w:r>
      <w:r w:rsidRPr="00811518" w:rsidR="00A43D63">
        <w:rPr>
          <w:rFonts w:eastAsiaTheme="minorEastAsia"/>
          <w:vertAlign w:val="superscript"/>
          <w:lang w:val="en-US"/>
        </w:rPr>
        <w:t>th</w:t>
      </w:r>
      <w:r w:rsidRPr="00811518" w:rsidR="00A43D63">
        <w:rPr>
          <w:rFonts w:eastAsiaTheme="minorEastAsia"/>
          <w:lang w:val="en-US"/>
        </w:rPr>
        <w:t xml:space="preserve"> anniversary celebrations, on identified days in school holidays etc. </w:t>
      </w:r>
      <w:r w:rsidR="00A43D63">
        <w:rPr>
          <w:rFonts w:eastAsiaTheme="minorEastAsia"/>
          <w:lang w:val="en-US"/>
        </w:rPr>
        <w:t>at least once a month.</w:t>
      </w:r>
      <w:r w:rsidRPr="00811518" w:rsidR="00A43D63">
        <w:rPr>
          <w:rFonts w:eastAsiaTheme="minorEastAsia"/>
          <w:lang w:val="en-US"/>
        </w:rPr>
        <w:t xml:space="preserve">  </w:t>
      </w:r>
      <w:r>
        <w:rPr>
          <w:rFonts w:eastAsiaTheme="minorEastAsia"/>
          <w:lang w:val="en-US"/>
        </w:rPr>
        <w:t>P</w:t>
      </w:r>
      <w:r w:rsidRPr="00811518" w:rsidR="00A43D63">
        <w:rPr>
          <w:rFonts w:eastAsiaTheme="minorEastAsia"/>
          <w:lang w:val="en-US"/>
        </w:rPr>
        <w:t xml:space="preserve">eople </w:t>
      </w:r>
      <w:r>
        <w:rPr>
          <w:rFonts w:eastAsiaTheme="minorEastAsia"/>
          <w:lang w:val="en-US"/>
        </w:rPr>
        <w:t xml:space="preserve">will also be able </w:t>
      </w:r>
      <w:r w:rsidRPr="00811518" w:rsidR="00A43D63">
        <w:rPr>
          <w:rFonts w:eastAsiaTheme="minorEastAsia"/>
          <w:lang w:val="en-US"/>
        </w:rPr>
        <w:t xml:space="preserve">to ‘pay it forward’ to give </w:t>
      </w:r>
      <w:r w:rsidR="00A43D63">
        <w:rPr>
          <w:rFonts w:eastAsiaTheme="minorEastAsia"/>
          <w:lang w:val="en-US"/>
        </w:rPr>
        <w:t xml:space="preserve">free </w:t>
      </w:r>
      <w:r w:rsidRPr="00811518" w:rsidR="00A43D63">
        <w:rPr>
          <w:rFonts w:eastAsiaTheme="minorEastAsia"/>
          <w:lang w:val="en-US"/>
        </w:rPr>
        <w:t>entry for those who otherwise would not be able to attend.</w:t>
      </w:r>
    </w:p>
    <w:p w:rsidR="00C51BD7" w:rsidP="00C51BD7" w:rsidRDefault="00C51BD7" w14:paraId="2F743C51" w14:textId="77777777">
      <w:pPr>
        <w:pStyle w:val="ListParagraph"/>
        <w:numPr>
          <w:ilvl w:val="0"/>
          <w:numId w:val="0"/>
        </w:numPr>
        <w:ind w:left="360"/>
        <w:rPr>
          <w:rFonts w:eastAsiaTheme="minorEastAsia"/>
          <w:lang w:val="en-US"/>
        </w:rPr>
      </w:pPr>
    </w:p>
    <w:p w:rsidRPr="00C51BD7" w:rsidR="002312EA" w:rsidP="00C51BD7" w:rsidRDefault="002A1298" w14:paraId="70635196" w14:textId="206074F9">
      <w:pPr>
        <w:pStyle w:val="ListParagraph"/>
        <w:numPr>
          <w:ilvl w:val="0"/>
          <w:numId w:val="0"/>
        </w:numPr>
        <w:ind w:left="360"/>
        <w:rPr>
          <w:rFonts w:eastAsiaTheme="minorEastAsia"/>
          <w:b/>
          <w:bCs/>
          <w:lang w:val="en-US"/>
        </w:rPr>
      </w:pPr>
      <w:r w:rsidRPr="00C51BD7">
        <w:rPr>
          <w:b/>
          <w:bCs/>
        </w:rPr>
        <w:t xml:space="preserve">Other </w:t>
      </w:r>
      <w:r w:rsidRPr="00C51BD7" w:rsidR="002312EA">
        <w:rPr>
          <w:b/>
          <w:bCs/>
        </w:rPr>
        <w:t xml:space="preserve">Options </w:t>
      </w:r>
      <w:r w:rsidRPr="00C51BD7">
        <w:rPr>
          <w:b/>
          <w:bCs/>
        </w:rPr>
        <w:t>Considered</w:t>
      </w:r>
    </w:p>
    <w:p w:rsidR="00B6027E" w:rsidP="00064D82" w:rsidRDefault="007114C2" w14:paraId="5C82BA16" w14:textId="77777777">
      <w:pPr>
        <w:pStyle w:val="bParagraphtext"/>
        <w:rPr>
          <w:rFonts w:cs="Arial"/>
          <w:color w:val="auto"/>
        </w:rPr>
      </w:pPr>
      <w:r w:rsidRPr="007716A5">
        <w:rPr>
          <w:rFonts w:cs="Arial"/>
          <w:color w:val="auto"/>
        </w:rPr>
        <w:t xml:space="preserve">See appendix </w:t>
      </w:r>
      <w:r w:rsidRPr="007716A5" w:rsidR="008940D5">
        <w:rPr>
          <w:rFonts w:cs="Arial"/>
          <w:color w:val="auto"/>
        </w:rPr>
        <w:t>2</w:t>
      </w:r>
      <w:r w:rsidRPr="007716A5" w:rsidR="00FD42B2">
        <w:rPr>
          <w:rFonts w:cs="Arial"/>
          <w:color w:val="auto"/>
        </w:rPr>
        <w:t xml:space="preserve"> for a list of the pros and cons of other options that were considered.  </w:t>
      </w:r>
      <w:r w:rsidRPr="007716A5" w:rsidR="007716A5">
        <w:rPr>
          <w:rFonts w:cs="Arial"/>
          <w:color w:val="auto"/>
        </w:rPr>
        <w:t xml:space="preserve">Whilst some options could be delivered alongside the charging option, no </w:t>
      </w:r>
      <w:r w:rsidRPr="007716A5" w:rsidR="00FD42B2">
        <w:rPr>
          <w:rFonts w:cs="Arial"/>
          <w:color w:val="auto"/>
        </w:rPr>
        <w:t>other option w</w:t>
      </w:r>
      <w:r w:rsidRPr="007716A5" w:rsidR="004D2DE3">
        <w:rPr>
          <w:rFonts w:cs="Arial"/>
          <w:color w:val="auto"/>
        </w:rPr>
        <w:t xml:space="preserve">ould have been likely to generate enough to fill the budget gap without </w:t>
      </w:r>
      <w:r w:rsidRPr="007716A5" w:rsidR="007716A5">
        <w:rPr>
          <w:rFonts w:cs="Arial"/>
          <w:color w:val="auto"/>
        </w:rPr>
        <w:t xml:space="preserve">including </w:t>
      </w:r>
      <w:r w:rsidRPr="007716A5" w:rsidR="004D2DE3">
        <w:rPr>
          <w:rFonts w:cs="Arial"/>
          <w:color w:val="auto"/>
        </w:rPr>
        <w:t xml:space="preserve">the charging </w:t>
      </w:r>
      <w:r w:rsidRPr="007716A5" w:rsidR="007716A5">
        <w:rPr>
          <w:rFonts w:cs="Arial"/>
          <w:color w:val="auto"/>
        </w:rPr>
        <w:t>option.</w:t>
      </w:r>
    </w:p>
    <w:p w:rsidR="00B6027E" w:rsidP="00B6027E" w:rsidRDefault="00B6027E" w14:paraId="4444381B" w14:textId="77777777">
      <w:pPr>
        <w:pStyle w:val="bParagraphtext"/>
        <w:numPr>
          <w:ilvl w:val="0"/>
          <w:numId w:val="0"/>
        </w:numPr>
        <w:ind w:left="360"/>
        <w:rPr>
          <w:rFonts w:cs="Arial"/>
          <w:color w:val="auto"/>
        </w:rPr>
      </w:pPr>
    </w:p>
    <w:p w:rsidRPr="00B6027E" w:rsidR="00064D82" w:rsidP="00FD31AD" w:rsidRDefault="00E615A4" w14:paraId="5F1E7C2F" w14:textId="662FE467">
      <w:pPr>
        <w:pStyle w:val="bParagraphtext"/>
        <w:numPr>
          <w:ilvl w:val="0"/>
          <w:numId w:val="0"/>
        </w:numPr>
        <w:ind w:left="360" w:hanging="360"/>
        <w:rPr>
          <w:rFonts w:cs="Arial"/>
          <w:b/>
          <w:bCs/>
          <w:color w:val="auto"/>
        </w:rPr>
      </w:pPr>
      <w:r>
        <w:rPr>
          <w:b/>
          <w:bCs/>
        </w:rPr>
        <w:tab/>
      </w:r>
      <w:r w:rsidRPr="00B6027E" w:rsidR="00064D82">
        <w:rPr>
          <w:b/>
          <w:bCs/>
        </w:rPr>
        <w:t>Recommendation</w:t>
      </w:r>
    </w:p>
    <w:p w:rsidR="00D37B59" w:rsidP="00DA075C" w:rsidRDefault="00952327" w14:paraId="6E3D3B7A" w14:textId="0FB97324">
      <w:pPr>
        <w:pStyle w:val="ListParagraph"/>
      </w:pPr>
      <w:r>
        <w:t xml:space="preserve">Given the potential </w:t>
      </w:r>
      <w:r w:rsidR="007E4BB6">
        <w:t xml:space="preserve">to fill the ongoing budget gap, it </w:t>
      </w:r>
      <w:r>
        <w:t xml:space="preserve">is recommended to introduce fees and concessionary rates </w:t>
      </w:r>
      <w:r w:rsidR="00541EF5">
        <w:t xml:space="preserve">for entry to the Museum of Oxford </w:t>
      </w:r>
      <w:r>
        <w:t>as outlined in Appendix 1.</w:t>
      </w:r>
      <w:r w:rsidR="00973978">
        <w:t xml:space="preserve">  </w:t>
      </w:r>
    </w:p>
    <w:p w:rsidR="00755534" w:rsidP="002B6836" w:rsidRDefault="00973978" w14:paraId="2E9DB193" w14:textId="77777777">
      <w:pPr>
        <w:pStyle w:val="ListParagraph"/>
      </w:pPr>
      <w:r>
        <w:t xml:space="preserve">It is recommended to introduce these </w:t>
      </w:r>
      <w:r w:rsidR="00D37B59">
        <w:t xml:space="preserve">fees </w:t>
      </w:r>
      <w:r>
        <w:t>in January 2026.</w:t>
      </w:r>
      <w:r w:rsidR="00F165D1">
        <w:t xml:space="preserve">  </w:t>
      </w:r>
    </w:p>
    <w:p w:rsidR="00755534" w:rsidP="00755534" w:rsidRDefault="00755534" w14:paraId="378B1EDF" w14:textId="77777777">
      <w:pPr>
        <w:pStyle w:val="ListParagraph"/>
        <w:numPr>
          <w:ilvl w:val="0"/>
          <w:numId w:val="0"/>
        </w:numPr>
        <w:ind w:left="360"/>
      </w:pPr>
    </w:p>
    <w:p w:rsidRPr="00FD31AD" w:rsidR="0040736F" w:rsidP="00E615A4" w:rsidRDefault="002329CF" w14:paraId="11308776" w14:textId="72B226E5">
      <w:pPr>
        <w:ind w:left="360"/>
        <w:rPr>
          <w:b/>
          <w:bCs/>
        </w:rPr>
      </w:pPr>
      <w:r w:rsidRPr="00FD31AD">
        <w:rPr>
          <w:b/>
          <w:bCs/>
        </w:rPr>
        <w:t>Financial implications</w:t>
      </w:r>
    </w:p>
    <w:p w:rsidR="00026FB4" w:rsidP="004A6D2F" w:rsidRDefault="006F5D6D" w14:paraId="1E12B200" w14:textId="78E30B38">
      <w:pPr>
        <w:pStyle w:val="ListParagraph"/>
      </w:pPr>
      <w:r w:rsidRPr="00813B82">
        <w:rPr>
          <w:rStyle w:val="bParagraphtextChar"/>
        </w:rPr>
        <w:t xml:space="preserve">Charging an entrance fee </w:t>
      </w:r>
      <w:r w:rsidRPr="00813B82" w:rsidR="00FD5144">
        <w:rPr>
          <w:rStyle w:val="bParagraphtextChar"/>
        </w:rPr>
        <w:t xml:space="preserve">and </w:t>
      </w:r>
      <w:r w:rsidRPr="00813B82" w:rsidR="00053B83">
        <w:rPr>
          <w:rStyle w:val="bParagraphtextChar"/>
        </w:rPr>
        <w:t xml:space="preserve">offering joint tickets </w:t>
      </w:r>
      <w:r w:rsidRPr="00813B82" w:rsidR="00FD5144">
        <w:rPr>
          <w:rStyle w:val="bParagraphtextChar"/>
        </w:rPr>
        <w:t xml:space="preserve">with strategic partners </w:t>
      </w:r>
      <w:r w:rsidRPr="00813B82" w:rsidR="00053B83">
        <w:rPr>
          <w:rStyle w:val="bParagraphtextChar"/>
        </w:rPr>
        <w:t xml:space="preserve">through a procurement call </w:t>
      </w:r>
      <w:r w:rsidRPr="00813B82">
        <w:rPr>
          <w:rStyle w:val="bParagraphtextChar"/>
        </w:rPr>
        <w:t>has the po</w:t>
      </w:r>
      <w:r w:rsidRPr="00813B82" w:rsidR="00FD5144">
        <w:rPr>
          <w:rStyle w:val="bParagraphtextChar"/>
        </w:rPr>
        <w:t>tential to raise significant additional income</w:t>
      </w:r>
      <w:r w:rsidRPr="00813B82" w:rsidR="00125142">
        <w:rPr>
          <w:rStyle w:val="bParagraphtextChar"/>
        </w:rPr>
        <w:t xml:space="preserve"> to assist the longer term sustainability of the</w:t>
      </w:r>
      <w:r w:rsidR="00125142">
        <w:rPr>
          <w:rStyle w:val="bParagraphtextChar"/>
        </w:rPr>
        <w:t xml:space="preserve"> museum</w:t>
      </w:r>
      <w:r w:rsidR="00FD5144">
        <w:rPr>
          <w:rStyle w:val="bParagraphtextChar"/>
        </w:rPr>
        <w:t>.</w:t>
      </w:r>
    </w:p>
    <w:p w:rsidR="00026FB4" w:rsidP="00026FB4" w:rsidRDefault="00026FB4" w14:paraId="592B1155" w14:textId="77777777">
      <w:pPr>
        <w:pStyle w:val="Heading1"/>
        <w:ind w:firstLine="360"/>
      </w:pPr>
    </w:p>
    <w:p w:rsidRPr="00FD31AD" w:rsidR="00FD31AD" w:rsidP="00FD31AD" w:rsidRDefault="00FD31AD" w14:paraId="7699010E" w14:textId="77777777"/>
    <w:p w:rsidRPr="009A2921" w:rsidR="0040736F" w:rsidP="00E615A4" w:rsidRDefault="00DA614B" w14:paraId="06827778" w14:textId="39324919">
      <w:pPr>
        <w:pStyle w:val="Heading1"/>
        <w:ind w:firstLine="360"/>
      </w:pPr>
      <w:r w:rsidRPr="009A2921">
        <w:lastRenderedPageBreak/>
        <w:t>Legal issues</w:t>
      </w:r>
    </w:p>
    <w:p w:rsidRPr="009A2921" w:rsidR="009A2921" w:rsidP="00DA0B73" w:rsidRDefault="009A2921" w14:paraId="1F6327C9" w14:textId="69D20CAF">
      <w:pPr>
        <w:pStyle w:val="ListParagraph"/>
        <w:rPr>
          <w:color w:val="auto"/>
        </w:rPr>
      </w:pPr>
      <w:r w:rsidRPr="00813B82">
        <w:t>Pursuant to section 1</w:t>
      </w:r>
      <w:r>
        <w:t>3</w:t>
      </w:r>
      <w:r w:rsidRPr="009A2921">
        <w:t xml:space="preserve"> of </w:t>
      </w:r>
      <w:bookmarkStart w:name="_Hlk210210140" w:id="0"/>
      <w:r w:rsidRPr="009A2921" w:rsidR="00600F47">
        <w:t>the Public Libraries and Museums Act 1964</w:t>
      </w:r>
      <w:bookmarkEnd w:id="0"/>
      <w:r w:rsidRPr="009A2921">
        <w:t>, the Council may make a charge for admission to a museum maintained by it under section 12 of this Act</w:t>
      </w:r>
      <w:r>
        <w:t>.</w:t>
      </w:r>
    </w:p>
    <w:p w:rsidRPr="009A2921" w:rsidR="009A2921" w:rsidP="00DA0B73" w:rsidRDefault="009A2921" w14:paraId="31250FBB" w14:textId="091D9AC4">
      <w:pPr>
        <w:pStyle w:val="ListParagraph"/>
        <w:rPr>
          <w:color w:val="auto"/>
        </w:rPr>
      </w:pPr>
      <w:r w:rsidRPr="009A2921">
        <w:rPr>
          <w:color w:val="auto"/>
        </w:rPr>
        <w:t xml:space="preserve">In determining whether, and in what manner, to exercise its powers under </w:t>
      </w:r>
      <w:r>
        <w:rPr>
          <w:color w:val="auto"/>
        </w:rPr>
        <w:t>section 13 of the Act</w:t>
      </w:r>
      <w:r w:rsidRPr="009A2921">
        <w:rPr>
          <w:color w:val="auto"/>
        </w:rPr>
        <w:t xml:space="preserve"> in relation to </w:t>
      </w:r>
      <w:r>
        <w:rPr>
          <w:color w:val="auto"/>
        </w:rPr>
        <w:t>the</w:t>
      </w:r>
      <w:r w:rsidRPr="009A2921">
        <w:rPr>
          <w:color w:val="auto"/>
        </w:rPr>
        <w:t xml:space="preserve"> museum, </w:t>
      </w:r>
      <w:r>
        <w:rPr>
          <w:color w:val="auto"/>
        </w:rPr>
        <w:t>the Council must</w:t>
      </w:r>
      <w:r w:rsidRPr="009A2921">
        <w:rPr>
          <w:color w:val="auto"/>
        </w:rPr>
        <w:t xml:space="preserve"> take into account the need to secure that the museum plays its full part in the promotion of education in the area,</w:t>
      </w:r>
      <w:r w:rsidR="00A857D5">
        <w:rPr>
          <w:color w:val="auto"/>
        </w:rPr>
        <w:t xml:space="preserve"> </w:t>
      </w:r>
      <w:r w:rsidRPr="009A2921">
        <w:rPr>
          <w:color w:val="auto"/>
        </w:rPr>
        <w:t xml:space="preserve">and </w:t>
      </w:r>
      <w:r>
        <w:rPr>
          <w:color w:val="auto"/>
        </w:rPr>
        <w:t>must</w:t>
      </w:r>
      <w:r w:rsidRPr="009A2921">
        <w:rPr>
          <w:color w:val="auto"/>
        </w:rPr>
        <w:t xml:space="preserve"> have particular regard to the interests of children and students.</w:t>
      </w:r>
    </w:p>
    <w:p w:rsidRPr="00111372" w:rsidR="00FA28A9" w:rsidP="00FA28A9" w:rsidRDefault="009A2921" w14:paraId="1BFA0608" w14:textId="57E09C89">
      <w:pPr>
        <w:pStyle w:val="ListParagraph"/>
        <w:rPr>
          <w:color w:val="auto"/>
        </w:rPr>
      </w:pPr>
      <w:r w:rsidRPr="00111372">
        <w:t>The Council has considered its duties under</w:t>
      </w:r>
      <w:r w:rsidRPr="00111372" w:rsidR="00B95BB4">
        <w:t xml:space="preserve"> section 13 of the Act and its findings are set out in paragraph</w:t>
      </w:r>
      <w:r w:rsidR="00113C63">
        <w:t>s</w:t>
      </w:r>
      <w:r w:rsidRPr="00111372" w:rsidR="00B95BB4">
        <w:t xml:space="preserve"> </w:t>
      </w:r>
      <w:r w:rsidRPr="00111372" w:rsidR="00111372">
        <w:t>1</w:t>
      </w:r>
      <w:r w:rsidR="00FC1FB3">
        <w:t>0</w:t>
      </w:r>
      <w:r w:rsidRPr="00111372" w:rsidR="00111372">
        <w:t xml:space="preserve"> </w:t>
      </w:r>
      <w:r w:rsidR="00113C63">
        <w:t>and 1</w:t>
      </w:r>
      <w:r w:rsidR="00FC1FB3">
        <w:t>1</w:t>
      </w:r>
      <w:r w:rsidR="00113C63">
        <w:t xml:space="preserve"> </w:t>
      </w:r>
      <w:r w:rsidRPr="00111372" w:rsidR="00B95BB4">
        <w:t>above</w:t>
      </w:r>
      <w:r w:rsidRPr="00111372" w:rsidR="00FA28A9">
        <w:t>.</w:t>
      </w:r>
    </w:p>
    <w:p w:rsidRPr="0049488D" w:rsidR="0049488D" w:rsidP="0049488D" w:rsidRDefault="0049488D" w14:paraId="1CFD15CF" w14:textId="62B832CC">
      <w:pPr>
        <w:pStyle w:val="ListParagraph"/>
        <w:rPr>
          <w:rStyle w:val="ms-1"/>
        </w:rPr>
      </w:pPr>
      <w:r>
        <w:rPr>
          <w:rStyle w:val="ms-1"/>
        </w:rPr>
        <w:t xml:space="preserve">In accordance with Rule 4.5 of the Constitution, </w:t>
      </w:r>
      <w:r w:rsidRPr="0049488D">
        <w:rPr>
          <w:rStyle w:val="ms-1"/>
        </w:rPr>
        <w:t>agreeing the strategy for setting fees and charges and setting fees and</w:t>
      </w:r>
      <w:r>
        <w:rPr>
          <w:rStyle w:val="ms-1"/>
        </w:rPr>
        <w:t xml:space="preserve"> </w:t>
      </w:r>
      <w:r w:rsidRPr="0049488D">
        <w:rPr>
          <w:rStyle w:val="ms-1"/>
        </w:rPr>
        <w:t>charges for executive functions (to the extent that the budget has not set fee</w:t>
      </w:r>
      <w:r>
        <w:rPr>
          <w:rStyle w:val="ms-1"/>
        </w:rPr>
        <w:t xml:space="preserve">s </w:t>
      </w:r>
      <w:r w:rsidRPr="0049488D">
        <w:rPr>
          <w:rStyle w:val="ms-1"/>
        </w:rPr>
        <w:t>and charges)</w:t>
      </w:r>
      <w:r>
        <w:rPr>
          <w:rStyle w:val="ms-1"/>
        </w:rPr>
        <w:t xml:space="preserve"> is the decision that must be agreed by the Cabinet. </w:t>
      </w:r>
    </w:p>
    <w:p w:rsidR="00E615A4" w:rsidP="00E615A4" w:rsidRDefault="00E615A4" w14:paraId="3419F2A3" w14:textId="77777777">
      <w:pPr>
        <w:pStyle w:val="ListParagraph"/>
        <w:numPr>
          <w:ilvl w:val="0"/>
          <w:numId w:val="0"/>
        </w:numPr>
        <w:ind w:left="360"/>
        <w:rPr>
          <w:rStyle w:val="ms-1"/>
          <w:color w:val="auto"/>
        </w:rPr>
      </w:pPr>
    </w:p>
    <w:p w:rsidRPr="00E615A4" w:rsidR="002329CF" w:rsidP="00E615A4" w:rsidRDefault="002329CF" w14:paraId="39265579" w14:textId="12E69CCC">
      <w:pPr>
        <w:pStyle w:val="ListParagraph"/>
        <w:numPr>
          <w:ilvl w:val="0"/>
          <w:numId w:val="0"/>
        </w:numPr>
        <w:ind w:left="360"/>
        <w:rPr>
          <w:b/>
          <w:bCs/>
        </w:rPr>
      </w:pPr>
      <w:r w:rsidRPr="00E615A4">
        <w:rPr>
          <w:b/>
          <w:bCs/>
        </w:rPr>
        <w:t>Level of risk</w:t>
      </w:r>
    </w:p>
    <w:p w:rsidR="00E615A4" w:rsidP="0050321C" w:rsidRDefault="00436F9A" w14:paraId="40445B17" w14:textId="77777777">
      <w:pPr>
        <w:pStyle w:val="bParagraphtext"/>
      </w:pPr>
      <w:r w:rsidRPr="00111372">
        <w:t>See the attached risk register</w:t>
      </w:r>
      <w:r w:rsidRPr="00111372" w:rsidR="004F5AF5">
        <w:t xml:space="preserve"> at appendix 3</w:t>
      </w:r>
      <w:r w:rsidRPr="00111372">
        <w:t>.</w:t>
      </w:r>
    </w:p>
    <w:p w:rsidR="00E615A4" w:rsidP="00E615A4" w:rsidRDefault="00E615A4" w14:paraId="69F93F8B" w14:textId="77777777">
      <w:pPr>
        <w:pStyle w:val="bParagraphtext"/>
        <w:numPr>
          <w:ilvl w:val="0"/>
          <w:numId w:val="0"/>
        </w:numPr>
      </w:pPr>
    </w:p>
    <w:p w:rsidRPr="00E615A4" w:rsidR="002329CF" w:rsidP="00E615A4" w:rsidRDefault="002329CF" w14:paraId="2399E607" w14:textId="75A22F30">
      <w:pPr>
        <w:pStyle w:val="bParagraphtext"/>
        <w:numPr>
          <w:ilvl w:val="0"/>
          <w:numId w:val="0"/>
        </w:numPr>
        <w:ind w:left="360"/>
        <w:rPr>
          <w:b/>
          <w:bCs/>
        </w:rPr>
      </w:pPr>
      <w:r w:rsidRPr="00E615A4">
        <w:rPr>
          <w:b/>
          <w:bCs/>
        </w:rPr>
        <w:t xml:space="preserve">Equalities impact </w:t>
      </w:r>
    </w:p>
    <w:p w:rsidRPr="00295ADD" w:rsidR="00E206D6" w:rsidP="005D77B6" w:rsidRDefault="00E029C2" w14:paraId="1C3EE284" w14:textId="16330951">
      <w:pPr>
        <w:pStyle w:val="ListParagraph"/>
      </w:pPr>
      <w:bookmarkStart w:name="_Hlk184712181" w:id="1"/>
      <w:r w:rsidRPr="00295ADD">
        <w:t xml:space="preserve">See the attached </w:t>
      </w:r>
      <w:r w:rsidRPr="00295ADD" w:rsidR="0093067A">
        <w:t>Equalities Impact Assessment</w:t>
      </w:r>
      <w:bookmarkEnd w:id="1"/>
      <w:r w:rsidR="004F5AF5">
        <w:t xml:space="preserve"> at appendix 4</w:t>
      </w:r>
      <w:r w:rsidRPr="00295ADD" w:rsidR="001A0C43">
        <w:t>.</w:t>
      </w: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71779A" w14:paraId="6930C959" w14:textId="39482826">
            <w:r>
              <w:t>Paula Redway</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tcPr>
          <w:p w:rsidRPr="001356F1" w:rsidR="00E87F7A" w:rsidP="00A46E98" w:rsidRDefault="0071779A" w14:paraId="3100D2DA" w14:textId="733B979D">
            <w:r>
              <w:t>Culture and Community Development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301060" w14:paraId="0F7746FF" w14:textId="77C92B62">
            <w:r>
              <w:rPr>
                <w:rStyle w:val="Firstpagetablebold"/>
                <w:rFonts w:cs="Arial"/>
                <w:b w:val="0"/>
                <w:color w:val="auto"/>
              </w:rPr>
              <w:t>Communities and Citizens’</w:t>
            </w:r>
            <w:r w:rsidRPr="00301060">
              <w:rPr>
                <w:rStyle w:val="Firstpagetablebold"/>
                <w:rFonts w:cs="Arial"/>
                <w:b w:val="0"/>
                <w:bCs/>
                <w:color w:val="auto"/>
              </w:rPr>
              <w:t xml:space="preserve"> </w:t>
            </w:r>
            <w:r w:rsidRPr="00301060">
              <w:rPr>
                <w:rStyle w:val="Firstpagetablebold"/>
                <w:rFonts w:cs="Arial"/>
                <w:b w:val="0"/>
                <w:bCs/>
              </w:rPr>
              <w:t>Services</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4C3B61EC">
            <w:r w:rsidRPr="001356F1">
              <w:t xml:space="preserve">01865 </w:t>
            </w:r>
            <w:r w:rsidR="00862220">
              <w:t>252780</w:t>
            </w:r>
            <w:r w:rsidRPr="001356F1">
              <w:t xml:space="preserve">  </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400B60" w14:paraId="64C04F4C" w14:textId="606AD483">
            <w:pPr>
              <w:rPr>
                <w:rStyle w:val="Hyperlink"/>
                <w:color w:val="000000"/>
              </w:rPr>
            </w:pPr>
            <w:hyperlink r:id="rId12">
              <w:r w:rsidRPr="03064025" w:rsidR="00301060">
                <w:rPr>
                  <w:rStyle w:val="Hyperlink"/>
                </w:rPr>
                <w:t>predway@oxford.gov.uk;</w:t>
              </w:r>
            </w:hyperlink>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62B73EE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tcPr>
          <w:p w:rsidRPr="001356F1" w:rsidR="0093067A" w:rsidP="00F41AC1" w:rsidRDefault="282C914F" w14:paraId="61B16C51" w14:textId="226BA202">
            <w:r w:rsidRPr="62B73EE3">
              <w:rPr>
                <w:rStyle w:val="Firstpagetablebold"/>
              </w:rPr>
              <w:t xml:space="preserve">Background Papers: </w:t>
            </w:r>
          </w:p>
          <w:p w:rsidRPr="007C7D6D" w:rsidR="0093067A" w:rsidP="007C7D6D" w:rsidRDefault="3A028991" w14:paraId="7116CD40" w14:textId="16822AB4">
            <w:pPr>
              <w:rPr>
                <w:rFonts w:eastAsia="Arial" w:cs="Arial"/>
                <w:color w:val="auto"/>
              </w:rPr>
            </w:pPr>
            <w:r w:rsidRPr="009E30E2">
              <w:rPr>
                <w:rStyle w:val="Firstpagetablebold"/>
                <w:rFonts w:eastAsia="Arial" w:cs="Arial"/>
                <w:b w:val="0"/>
                <w:color w:val="auto"/>
              </w:rPr>
              <w:t xml:space="preserve">List the background documents and, if possible, link to them. </w:t>
            </w:r>
          </w:p>
        </w:tc>
      </w:tr>
      <w:tr w:rsidRPr="001356F1" w:rsidR="00DF093E" w:rsidTr="62B73EE3" w14:paraId="4B513816" w14:textId="77777777">
        <w:tc>
          <w:tcPr>
            <w:tcW w:w="567" w:type="dxa"/>
            <w:tcBorders>
              <w:top w:val="single" w:color="000000" w:themeColor="text1" w:sz="8" w:space="0"/>
              <w:left w:val="single" w:color="000000" w:themeColor="text1" w:sz="8" w:space="0"/>
              <w:bottom w:val="nil"/>
              <w:right w:val="nil"/>
            </w:tcBorders>
          </w:tcPr>
          <w:p w:rsidRPr="001356F1" w:rsidR="0093067A" w:rsidP="00F41AC1" w:rsidRDefault="00182B81" w14:paraId="5C766C7F" w14:textId="77777777">
            <w:r w:rsidRPr="001356F1">
              <w:t>1</w:t>
            </w:r>
          </w:p>
        </w:tc>
        <w:tc>
          <w:tcPr>
            <w:tcW w:w="8364" w:type="dxa"/>
            <w:tcBorders>
              <w:top w:val="single" w:color="000000" w:themeColor="text1" w:sz="8" w:space="0"/>
              <w:left w:val="nil"/>
              <w:bottom w:val="nil"/>
              <w:right w:val="single" w:color="000000" w:themeColor="text1" w:sz="8" w:space="0"/>
            </w:tcBorders>
          </w:tcPr>
          <w:p w:rsidRPr="001356F1" w:rsidR="0093067A" w:rsidP="005D0621" w:rsidRDefault="00417F63" w14:paraId="462D1A28" w14:textId="5E38E196">
            <w:r>
              <w:t>Not applicable</w:t>
            </w:r>
          </w:p>
        </w:tc>
      </w:tr>
      <w:tr w:rsidRPr="00A46E98" w:rsidR="005570B5" w:rsidTr="62B73EE3" w14:paraId="0EFBD437" w14:textId="77777777">
        <w:tc>
          <w:tcPr>
            <w:tcW w:w="567" w:type="dxa"/>
            <w:tcBorders>
              <w:top w:val="nil"/>
              <w:left w:val="single" w:color="000000" w:themeColor="text1" w:sz="8" w:space="0"/>
              <w:bottom w:val="single" w:color="000000" w:themeColor="text1" w:sz="8" w:space="0"/>
              <w:right w:val="nil"/>
            </w:tcBorders>
          </w:tcPr>
          <w:p w:rsidRPr="00A46E98" w:rsidR="0093067A" w:rsidP="00F41AC1" w:rsidRDefault="0093067A" w14:paraId="67643100" w14:textId="485CAD01"/>
        </w:tc>
        <w:tc>
          <w:tcPr>
            <w:tcW w:w="8364" w:type="dxa"/>
            <w:tcBorders>
              <w:top w:val="nil"/>
              <w:left w:val="nil"/>
              <w:bottom w:val="single" w:color="000000" w:themeColor="text1" w:sz="8" w:space="0"/>
              <w:right w:val="single" w:color="000000" w:themeColor="text1" w:sz="8" w:space="0"/>
            </w:tcBorders>
          </w:tcPr>
          <w:p w:rsidRPr="00A46E98" w:rsidR="0093067A" w:rsidP="00F41AC1" w:rsidRDefault="0093067A" w14:paraId="09B8BB73" w14:textId="77777777"/>
        </w:tc>
      </w:tr>
    </w:tbl>
    <w:p w:rsidR="00CE4C87" w:rsidP="0093067A" w:rsidRDefault="00CE4C87" w14:paraId="6E09069D" w14:textId="77777777"/>
    <w:sectPr w:rsidRPr="009E51FC" w:rsidR="00AD3D7D" w:rsidSect="006E4C1F">
      <w:footerReference w:type="even" r:id="rId13"/>
      <w:headerReference w:type="first" r:id="rId14"/>
      <w:pgSz w:w="11906" w:h="16838" w:orient="portrait" w:code="9"/>
      <w:pgMar w:top="993" w:right="1304" w:bottom="709"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661D" w:rsidP="004A6D2F" w:rsidRDefault="00F2661D" w14:paraId="78322720" w14:textId="77777777">
      <w:r>
        <w:separator/>
      </w:r>
    </w:p>
  </w:endnote>
  <w:endnote w:type="continuationSeparator" w:id="0">
    <w:p w:rsidR="00F2661D" w:rsidP="004A6D2F" w:rsidRDefault="00F2661D" w14:paraId="10E317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661D" w:rsidP="004A6D2F" w:rsidRDefault="00F2661D" w14:paraId="41C1ACFF" w14:textId="77777777">
      <w:r>
        <w:separator/>
      </w:r>
    </w:p>
  </w:footnote>
  <w:footnote w:type="continuationSeparator" w:id="0">
    <w:p w:rsidR="00F2661D" w:rsidP="004A6D2F" w:rsidRDefault="00F2661D" w14:paraId="010CA2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5" name="Picture 5"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6193F14"/>
    <w:multiLevelType w:val="hybridMultilevel"/>
    <w:tmpl w:val="09C2C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66A6946"/>
    <w:multiLevelType w:val="hybridMultilevel"/>
    <w:tmpl w:val="BF548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ABA5FD8"/>
    <w:multiLevelType w:val="multilevel"/>
    <w:tmpl w:val="43D6D2FA"/>
    <w:numStyleLink w:val="StyleBulletedSymbolsymbolLeft063cmHanging063cm"/>
  </w:abstractNum>
  <w:abstractNum w:abstractNumId="31"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A22831"/>
    <w:multiLevelType w:val="multilevel"/>
    <w:tmpl w:val="43D6D2FA"/>
    <w:numStyleLink w:val="StyleBulletedSymbolsymbolLeft063cmHanging063cm"/>
  </w:abstractNum>
  <w:abstractNum w:abstractNumId="3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714D59"/>
    <w:multiLevelType w:val="hybridMultilevel"/>
    <w:tmpl w:val="1F9640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98365C6"/>
    <w:multiLevelType w:val="multilevel"/>
    <w:tmpl w:val="E67CE66C"/>
    <w:numStyleLink w:val="StyleNumberedLeft0cmHanging075cm"/>
  </w:abstractNum>
  <w:num w:numId="1" w16cid:durableId="2036299310">
    <w:abstractNumId w:val="28"/>
  </w:num>
  <w:num w:numId="2" w16cid:durableId="643705505">
    <w:abstractNumId w:val="34"/>
  </w:num>
  <w:num w:numId="3" w16cid:durableId="1284848424">
    <w:abstractNumId w:val="25"/>
  </w:num>
  <w:num w:numId="4" w16cid:durableId="578908713">
    <w:abstractNumId w:val="19"/>
  </w:num>
  <w:num w:numId="5" w16cid:durableId="54470100">
    <w:abstractNumId w:val="31"/>
  </w:num>
  <w:num w:numId="6" w16cid:durableId="694158268">
    <w:abstractNumId w:val="36"/>
  </w:num>
  <w:num w:numId="7" w16cid:durableId="647516062">
    <w:abstractNumId w:val="24"/>
  </w:num>
  <w:num w:numId="8" w16cid:durableId="1160539719">
    <w:abstractNumId w:val="21"/>
  </w:num>
  <w:num w:numId="9" w16cid:durableId="1862670074">
    <w:abstractNumId w:val="13"/>
  </w:num>
  <w:num w:numId="10" w16cid:durableId="948585193">
    <w:abstractNumId w:val="15"/>
  </w:num>
  <w:num w:numId="11" w16cid:durableId="718482766">
    <w:abstractNumId w:val="27"/>
  </w:num>
  <w:num w:numId="12" w16cid:durableId="164051272">
    <w:abstractNumId w:val="26"/>
  </w:num>
  <w:num w:numId="13" w16cid:durableId="1450854030">
    <w:abstractNumId w:val="10"/>
  </w:num>
  <w:num w:numId="14" w16cid:durableId="373359476">
    <w:abstractNumId w:val="38"/>
  </w:num>
  <w:num w:numId="15" w16cid:durableId="1009412161">
    <w:abstractNumId w:val="16"/>
  </w:num>
  <w:num w:numId="16" w16cid:durableId="2041280933">
    <w:abstractNumId w:val="11"/>
  </w:num>
  <w:num w:numId="17" w16cid:durableId="471220593">
    <w:abstractNumId w:val="30"/>
  </w:num>
  <w:num w:numId="18" w16cid:durableId="1031035851">
    <w:abstractNumId w:val="12"/>
  </w:num>
  <w:num w:numId="19" w16cid:durableId="1402945545">
    <w:abstractNumId w:val="32"/>
  </w:num>
  <w:num w:numId="20" w16cid:durableId="1667248783">
    <w:abstractNumId w:val="17"/>
  </w:num>
  <w:num w:numId="21" w16cid:durableId="1353453069">
    <w:abstractNumId w:val="22"/>
  </w:num>
  <w:num w:numId="22" w16cid:durableId="592667723">
    <w:abstractNumId w:val="14"/>
  </w:num>
  <w:num w:numId="23" w16cid:durableId="37707020">
    <w:abstractNumId w:val="33"/>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5"/>
  </w:num>
  <w:num w:numId="35" w16cid:durableId="1152941978">
    <w:abstractNumId w:val="20"/>
  </w:num>
  <w:num w:numId="36" w16cid:durableId="2006741231">
    <w:abstractNumId w:val="23"/>
  </w:num>
  <w:num w:numId="37" w16cid:durableId="1020403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3152164">
    <w:abstractNumId w:val="18"/>
  </w:num>
  <w:num w:numId="39" w16cid:durableId="1043945418">
    <w:abstractNumId w:val="29"/>
  </w:num>
  <w:num w:numId="40" w16cid:durableId="165865148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3C41"/>
    <w:rsid w:val="000117D4"/>
    <w:rsid w:val="000118BE"/>
    <w:rsid w:val="00015440"/>
    <w:rsid w:val="00015D63"/>
    <w:rsid w:val="0001784C"/>
    <w:rsid w:val="00025250"/>
    <w:rsid w:val="00026FB4"/>
    <w:rsid w:val="000314D7"/>
    <w:rsid w:val="00034054"/>
    <w:rsid w:val="0004437F"/>
    <w:rsid w:val="00045F8B"/>
    <w:rsid w:val="00046D2B"/>
    <w:rsid w:val="000526BE"/>
    <w:rsid w:val="00053B83"/>
    <w:rsid w:val="00054B09"/>
    <w:rsid w:val="00056263"/>
    <w:rsid w:val="00064D82"/>
    <w:rsid w:val="00064D8A"/>
    <w:rsid w:val="00064F82"/>
    <w:rsid w:val="00066510"/>
    <w:rsid w:val="000752CA"/>
    <w:rsid w:val="0007538F"/>
    <w:rsid w:val="00076DD3"/>
    <w:rsid w:val="00077523"/>
    <w:rsid w:val="000A02EF"/>
    <w:rsid w:val="000B1DFC"/>
    <w:rsid w:val="000B58BE"/>
    <w:rsid w:val="000C089F"/>
    <w:rsid w:val="000C1B56"/>
    <w:rsid w:val="000C3928"/>
    <w:rsid w:val="000C3977"/>
    <w:rsid w:val="000C5DEB"/>
    <w:rsid w:val="000C5E8E"/>
    <w:rsid w:val="000F4751"/>
    <w:rsid w:val="000F6499"/>
    <w:rsid w:val="000F78C0"/>
    <w:rsid w:val="001002CF"/>
    <w:rsid w:val="00101221"/>
    <w:rsid w:val="0010352C"/>
    <w:rsid w:val="0010524C"/>
    <w:rsid w:val="00110BE1"/>
    <w:rsid w:val="00111372"/>
    <w:rsid w:val="00111FB1"/>
    <w:rsid w:val="00113418"/>
    <w:rsid w:val="00113C63"/>
    <w:rsid w:val="00113FFE"/>
    <w:rsid w:val="001142A7"/>
    <w:rsid w:val="001232C1"/>
    <w:rsid w:val="00125142"/>
    <w:rsid w:val="0012614F"/>
    <w:rsid w:val="001356F1"/>
    <w:rsid w:val="00136994"/>
    <w:rsid w:val="0014128E"/>
    <w:rsid w:val="00144EB6"/>
    <w:rsid w:val="00151888"/>
    <w:rsid w:val="00154095"/>
    <w:rsid w:val="00160735"/>
    <w:rsid w:val="00164500"/>
    <w:rsid w:val="00170A2D"/>
    <w:rsid w:val="001808BC"/>
    <w:rsid w:val="00182B81"/>
    <w:rsid w:val="0018619D"/>
    <w:rsid w:val="00191D2A"/>
    <w:rsid w:val="00192C0E"/>
    <w:rsid w:val="001933DD"/>
    <w:rsid w:val="0019710B"/>
    <w:rsid w:val="0019759C"/>
    <w:rsid w:val="001A011E"/>
    <w:rsid w:val="001A066A"/>
    <w:rsid w:val="001A0C43"/>
    <w:rsid w:val="001A13E6"/>
    <w:rsid w:val="001A217E"/>
    <w:rsid w:val="001A3C60"/>
    <w:rsid w:val="001A47B1"/>
    <w:rsid w:val="001A5731"/>
    <w:rsid w:val="001B3463"/>
    <w:rsid w:val="001B42C3"/>
    <w:rsid w:val="001C5D5E"/>
    <w:rsid w:val="001C6605"/>
    <w:rsid w:val="001D678D"/>
    <w:rsid w:val="001E03F8"/>
    <w:rsid w:val="001E1678"/>
    <w:rsid w:val="001E3376"/>
    <w:rsid w:val="001E428F"/>
    <w:rsid w:val="001F17DD"/>
    <w:rsid w:val="002069B3"/>
    <w:rsid w:val="002210F7"/>
    <w:rsid w:val="00224ADB"/>
    <w:rsid w:val="002312EA"/>
    <w:rsid w:val="002329CF"/>
    <w:rsid w:val="00232BC3"/>
    <w:rsid w:val="00232F5B"/>
    <w:rsid w:val="00235138"/>
    <w:rsid w:val="0023678F"/>
    <w:rsid w:val="00237A1F"/>
    <w:rsid w:val="00243180"/>
    <w:rsid w:val="0024727E"/>
    <w:rsid w:val="00247C29"/>
    <w:rsid w:val="00254C68"/>
    <w:rsid w:val="00260467"/>
    <w:rsid w:val="00263EA3"/>
    <w:rsid w:val="00271C90"/>
    <w:rsid w:val="002775C1"/>
    <w:rsid w:val="00284F85"/>
    <w:rsid w:val="002870C3"/>
    <w:rsid w:val="00290915"/>
    <w:rsid w:val="00295ADD"/>
    <w:rsid w:val="00297BC8"/>
    <w:rsid w:val="002A1298"/>
    <w:rsid w:val="002A209D"/>
    <w:rsid w:val="002A22E2"/>
    <w:rsid w:val="002A256D"/>
    <w:rsid w:val="002A5872"/>
    <w:rsid w:val="002A785D"/>
    <w:rsid w:val="002B0CB6"/>
    <w:rsid w:val="002B2EE1"/>
    <w:rsid w:val="002B6836"/>
    <w:rsid w:val="002B702D"/>
    <w:rsid w:val="002C64F7"/>
    <w:rsid w:val="002D276A"/>
    <w:rsid w:val="002D2E32"/>
    <w:rsid w:val="002D34C1"/>
    <w:rsid w:val="002F41F2"/>
    <w:rsid w:val="002F4E56"/>
    <w:rsid w:val="002F5A47"/>
    <w:rsid w:val="002F5EF7"/>
    <w:rsid w:val="002F6B34"/>
    <w:rsid w:val="00301060"/>
    <w:rsid w:val="003014D5"/>
    <w:rsid w:val="00301BF3"/>
    <w:rsid w:val="0030208D"/>
    <w:rsid w:val="00315297"/>
    <w:rsid w:val="00323418"/>
    <w:rsid w:val="003274E4"/>
    <w:rsid w:val="003357BF"/>
    <w:rsid w:val="0034067A"/>
    <w:rsid w:val="00341C3C"/>
    <w:rsid w:val="00345091"/>
    <w:rsid w:val="00347FBF"/>
    <w:rsid w:val="00352541"/>
    <w:rsid w:val="003534DB"/>
    <w:rsid w:val="00357D06"/>
    <w:rsid w:val="00360906"/>
    <w:rsid w:val="00363DF5"/>
    <w:rsid w:val="00364FAD"/>
    <w:rsid w:val="0036738F"/>
    <w:rsid w:val="0036759C"/>
    <w:rsid w:val="00367AE5"/>
    <w:rsid w:val="00367D71"/>
    <w:rsid w:val="00374851"/>
    <w:rsid w:val="0038150A"/>
    <w:rsid w:val="00381C34"/>
    <w:rsid w:val="00384070"/>
    <w:rsid w:val="00387AEB"/>
    <w:rsid w:val="003B6E75"/>
    <w:rsid w:val="003B7DA1"/>
    <w:rsid w:val="003C37A9"/>
    <w:rsid w:val="003C566A"/>
    <w:rsid w:val="003D0379"/>
    <w:rsid w:val="003D1C3E"/>
    <w:rsid w:val="003D2574"/>
    <w:rsid w:val="003D4C59"/>
    <w:rsid w:val="003E0390"/>
    <w:rsid w:val="003F3A9B"/>
    <w:rsid w:val="003F4267"/>
    <w:rsid w:val="00400B60"/>
    <w:rsid w:val="004028B5"/>
    <w:rsid w:val="00404032"/>
    <w:rsid w:val="0040736F"/>
    <w:rsid w:val="00412C1F"/>
    <w:rsid w:val="004135EE"/>
    <w:rsid w:val="004135F2"/>
    <w:rsid w:val="00417169"/>
    <w:rsid w:val="00417C7C"/>
    <w:rsid w:val="00417F63"/>
    <w:rsid w:val="00421CB2"/>
    <w:rsid w:val="00422A42"/>
    <w:rsid w:val="00422FAE"/>
    <w:rsid w:val="00423D0B"/>
    <w:rsid w:val="00424B93"/>
    <w:rsid w:val="004268B9"/>
    <w:rsid w:val="00433B96"/>
    <w:rsid w:val="00436120"/>
    <w:rsid w:val="00436F9A"/>
    <w:rsid w:val="004440F1"/>
    <w:rsid w:val="004456DD"/>
    <w:rsid w:val="00446CDF"/>
    <w:rsid w:val="004515FB"/>
    <w:rsid w:val="004521B7"/>
    <w:rsid w:val="00452B83"/>
    <w:rsid w:val="004548E0"/>
    <w:rsid w:val="00462AB5"/>
    <w:rsid w:val="00462D22"/>
    <w:rsid w:val="00465EAF"/>
    <w:rsid w:val="004738C5"/>
    <w:rsid w:val="0047737B"/>
    <w:rsid w:val="00486694"/>
    <w:rsid w:val="00491046"/>
    <w:rsid w:val="00492C71"/>
    <w:rsid w:val="0049488D"/>
    <w:rsid w:val="00496078"/>
    <w:rsid w:val="00496B51"/>
    <w:rsid w:val="004A20FC"/>
    <w:rsid w:val="004A2519"/>
    <w:rsid w:val="004A2AC7"/>
    <w:rsid w:val="004A6D2F"/>
    <w:rsid w:val="004A75A9"/>
    <w:rsid w:val="004B11AE"/>
    <w:rsid w:val="004B1EF1"/>
    <w:rsid w:val="004B2E9D"/>
    <w:rsid w:val="004B4671"/>
    <w:rsid w:val="004C2887"/>
    <w:rsid w:val="004C7B4E"/>
    <w:rsid w:val="004D119E"/>
    <w:rsid w:val="004D2626"/>
    <w:rsid w:val="004D2DE3"/>
    <w:rsid w:val="004D6E26"/>
    <w:rsid w:val="004D77D3"/>
    <w:rsid w:val="004E2959"/>
    <w:rsid w:val="004F20EF"/>
    <w:rsid w:val="004F5AF5"/>
    <w:rsid w:val="0050321C"/>
    <w:rsid w:val="00507ECC"/>
    <w:rsid w:val="00517EEB"/>
    <w:rsid w:val="00522401"/>
    <w:rsid w:val="00537FDC"/>
    <w:rsid w:val="005404E5"/>
    <w:rsid w:val="0054056F"/>
    <w:rsid w:val="00541EF5"/>
    <w:rsid w:val="0054712D"/>
    <w:rsid w:val="00547EF6"/>
    <w:rsid w:val="00555932"/>
    <w:rsid w:val="005570B5"/>
    <w:rsid w:val="005670D6"/>
    <w:rsid w:val="0056736A"/>
    <w:rsid w:val="00567E18"/>
    <w:rsid w:val="00574CE9"/>
    <w:rsid w:val="00575F5F"/>
    <w:rsid w:val="005766A4"/>
    <w:rsid w:val="00581805"/>
    <w:rsid w:val="00585F76"/>
    <w:rsid w:val="005911A3"/>
    <w:rsid w:val="00592E65"/>
    <w:rsid w:val="00596376"/>
    <w:rsid w:val="005A185A"/>
    <w:rsid w:val="005A34E4"/>
    <w:rsid w:val="005A6610"/>
    <w:rsid w:val="005B17F2"/>
    <w:rsid w:val="005B1E5B"/>
    <w:rsid w:val="005B1EBE"/>
    <w:rsid w:val="005B3C07"/>
    <w:rsid w:val="005B7FB0"/>
    <w:rsid w:val="005C13C6"/>
    <w:rsid w:val="005C35A5"/>
    <w:rsid w:val="005C432B"/>
    <w:rsid w:val="005C577C"/>
    <w:rsid w:val="005C7701"/>
    <w:rsid w:val="005D0621"/>
    <w:rsid w:val="005D1E27"/>
    <w:rsid w:val="005D2A3E"/>
    <w:rsid w:val="005D77B6"/>
    <w:rsid w:val="005E022E"/>
    <w:rsid w:val="005E06F3"/>
    <w:rsid w:val="005E38B6"/>
    <w:rsid w:val="005E5215"/>
    <w:rsid w:val="005F7F7E"/>
    <w:rsid w:val="00600F47"/>
    <w:rsid w:val="0060129C"/>
    <w:rsid w:val="00606F46"/>
    <w:rsid w:val="006132E1"/>
    <w:rsid w:val="00614693"/>
    <w:rsid w:val="00622B89"/>
    <w:rsid w:val="006233F7"/>
    <w:rsid w:val="00623C2F"/>
    <w:rsid w:val="0062664C"/>
    <w:rsid w:val="00630906"/>
    <w:rsid w:val="00633578"/>
    <w:rsid w:val="00633ABD"/>
    <w:rsid w:val="00634198"/>
    <w:rsid w:val="00637068"/>
    <w:rsid w:val="006419CA"/>
    <w:rsid w:val="00650811"/>
    <w:rsid w:val="00652C6F"/>
    <w:rsid w:val="00655339"/>
    <w:rsid w:val="00661D3E"/>
    <w:rsid w:val="00662807"/>
    <w:rsid w:val="00671E53"/>
    <w:rsid w:val="00684CC4"/>
    <w:rsid w:val="0069018E"/>
    <w:rsid w:val="00692627"/>
    <w:rsid w:val="006931A5"/>
    <w:rsid w:val="006969E7"/>
    <w:rsid w:val="006A3643"/>
    <w:rsid w:val="006A428B"/>
    <w:rsid w:val="006B10C2"/>
    <w:rsid w:val="006B5341"/>
    <w:rsid w:val="006B7639"/>
    <w:rsid w:val="006C2A29"/>
    <w:rsid w:val="006C52F2"/>
    <w:rsid w:val="006C64CF"/>
    <w:rsid w:val="006C653D"/>
    <w:rsid w:val="006D0731"/>
    <w:rsid w:val="006D17B1"/>
    <w:rsid w:val="006D2EE1"/>
    <w:rsid w:val="006D4752"/>
    <w:rsid w:val="006D708A"/>
    <w:rsid w:val="006D78F2"/>
    <w:rsid w:val="006E026B"/>
    <w:rsid w:val="006E14C1"/>
    <w:rsid w:val="006E4C1F"/>
    <w:rsid w:val="006E4D32"/>
    <w:rsid w:val="006E6858"/>
    <w:rsid w:val="006E7A5A"/>
    <w:rsid w:val="006F0292"/>
    <w:rsid w:val="006F27FA"/>
    <w:rsid w:val="006F416B"/>
    <w:rsid w:val="006F4B56"/>
    <w:rsid w:val="006F519B"/>
    <w:rsid w:val="006F5D6D"/>
    <w:rsid w:val="00700614"/>
    <w:rsid w:val="007013AC"/>
    <w:rsid w:val="00701DB0"/>
    <w:rsid w:val="007047DD"/>
    <w:rsid w:val="00707B7D"/>
    <w:rsid w:val="007114C2"/>
    <w:rsid w:val="0071301C"/>
    <w:rsid w:val="00713675"/>
    <w:rsid w:val="00715823"/>
    <w:rsid w:val="0071779A"/>
    <w:rsid w:val="00720A80"/>
    <w:rsid w:val="00721029"/>
    <w:rsid w:val="0072449C"/>
    <w:rsid w:val="007253EF"/>
    <w:rsid w:val="00727F9D"/>
    <w:rsid w:val="00737B93"/>
    <w:rsid w:val="00741783"/>
    <w:rsid w:val="00745BF0"/>
    <w:rsid w:val="00751BAE"/>
    <w:rsid w:val="00751EA3"/>
    <w:rsid w:val="00755534"/>
    <w:rsid w:val="007615FE"/>
    <w:rsid w:val="007650FF"/>
    <w:rsid w:val="007662EB"/>
    <w:rsid w:val="0076655C"/>
    <w:rsid w:val="00770E7F"/>
    <w:rsid w:val="007716A5"/>
    <w:rsid w:val="007742DC"/>
    <w:rsid w:val="00784213"/>
    <w:rsid w:val="00791437"/>
    <w:rsid w:val="0079144D"/>
    <w:rsid w:val="007978BD"/>
    <w:rsid w:val="00797ADC"/>
    <w:rsid w:val="007A1546"/>
    <w:rsid w:val="007B0C2C"/>
    <w:rsid w:val="007B278E"/>
    <w:rsid w:val="007B3F3F"/>
    <w:rsid w:val="007B5CA2"/>
    <w:rsid w:val="007C1E35"/>
    <w:rsid w:val="007C2FAA"/>
    <w:rsid w:val="007C5C23"/>
    <w:rsid w:val="007C7D6D"/>
    <w:rsid w:val="007E2A26"/>
    <w:rsid w:val="007E42DE"/>
    <w:rsid w:val="007E4BB6"/>
    <w:rsid w:val="007F2348"/>
    <w:rsid w:val="007F4757"/>
    <w:rsid w:val="0080081C"/>
    <w:rsid w:val="008013B8"/>
    <w:rsid w:val="00803F07"/>
    <w:rsid w:val="00806E9C"/>
    <w:rsid w:val="0080749A"/>
    <w:rsid w:val="00813B82"/>
    <w:rsid w:val="008171BD"/>
    <w:rsid w:val="00820466"/>
    <w:rsid w:val="00821FB8"/>
    <w:rsid w:val="00822ACD"/>
    <w:rsid w:val="008346BC"/>
    <w:rsid w:val="0084318D"/>
    <w:rsid w:val="00847D1B"/>
    <w:rsid w:val="00855C66"/>
    <w:rsid w:val="00862220"/>
    <w:rsid w:val="00871EE4"/>
    <w:rsid w:val="00872743"/>
    <w:rsid w:val="00873CEC"/>
    <w:rsid w:val="00880B98"/>
    <w:rsid w:val="00884CC7"/>
    <w:rsid w:val="00885CF5"/>
    <w:rsid w:val="0088678C"/>
    <w:rsid w:val="00890D55"/>
    <w:rsid w:val="008940D5"/>
    <w:rsid w:val="008954DF"/>
    <w:rsid w:val="008B293F"/>
    <w:rsid w:val="008B2EE7"/>
    <w:rsid w:val="008B7371"/>
    <w:rsid w:val="008C0372"/>
    <w:rsid w:val="008C15CE"/>
    <w:rsid w:val="008D3DDB"/>
    <w:rsid w:val="008E450C"/>
    <w:rsid w:val="008F3B04"/>
    <w:rsid w:val="008F573F"/>
    <w:rsid w:val="009034EC"/>
    <w:rsid w:val="0093067A"/>
    <w:rsid w:val="00931153"/>
    <w:rsid w:val="009326B7"/>
    <w:rsid w:val="00934326"/>
    <w:rsid w:val="0093665C"/>
    <w:rsid w:val="00941C60"/>
    <w:rsid w:val="00941FD1"/>
    <w:rsid w:val="00947814"/>
    <w:rsid w:val="00950824"/>
    <w:rsid w:val="00952327"/>
    <w:rsid w:val="00952371"/>
    <w:rsid w:val="00961EE3"/>
    <w:rsid w:val="00966D42"/>
    <w:rsid w:val="00966FB8"/>
    <w:rsid w:val="009676D9"/>
    <w:rsid w:val="00970539"/>
    <w:rsid w:val="00971689"/>
    <w:rsid w:val="0097170F"/>
    <w:rsid w:val="00971ACD"/>
    <w:rsid w:val="00973978"/>
    <w:rsid w:val="00973E90"/>
    <w:rsid w:val="00974E7A"/>
    <w:rsid w:val="00975B07"/>
    <w:rsid w:val="00975C42"/>
    <w:rsid w:val="00977AD5"/>
    <w:rsid w:val="00980B4A"/>
    <w:rsid w:val="00982399"/>
    <w:rsid w:val="009933BF"/>
    <w:rsid w:val="009959E3"/>
    <w:rsid w:val="009A2921"/>
    <w:rsid w:val="009B0E19"/>
    <w:rsid w:val="009B1689"/>
    <w:rsid w:val="009B3E8A"/>
    <w:rsid w:val="009C6296"/>
    <w:rsid w:val="009D0B2D"/>
    <w:rsid w:val="009D5373"/>
    <w:rsid w:val="009D5649"/>
    <w:rsid w:val="009E30E2"/>
    <w:rsid w:val="009E3BDA"/>
    <w:rsid w:val="009E3D0A"/>
    <w:rsid w:val="009E51FC"/>
    <w:rsid w:val="009F0619"/>
    <w:rsid w:val="009F1D28"/>
    <w:rsid w:val="009F23CD"/>
    <w:rsid w:val="009F5A8A"/>
    <w:rsid w:val="009F7618"/>
    <w:rsid w:val="00A04D23"/>
    <w:rsid w:val="00A06766"/>
    <w:rsid w:val="00A12F4E"/>
    <w:rsid w:val="00A13765"/>
    <w:rsid w:val="00A1727A"/>
    <w:rsid w:val="00A21B12"/>
    <w:rsid w:val="00A23F80"/>
    <w:rsid w:val="00A24451"/>
    <w:rsid w:val="00A264A1"/>
    <w:rsid w:val="00A31D30"/>
    <w:rsid w:val="00A34C90"/>
    <w:rsid w:val="00A37A86"/>
    <w:rsid w:val="00A4260B"/>
    <w:rsid w:val="00A4280D"/>
    <w:rsid w:val="00A43D63"/>
    <w:rsid w:val="00A4493E"/>
    <w:rsid w:val="00A46E98"/>
    <w:rsid w:val="00A541D4"/>
    <w:rsid w:val="00A6352B"/>
    <w:rsid w:val="00A674F5"/>
    <w:rsid w:val="00A701B5"/>
    <w:rsid w:val="00A714BB"/>
    <w:rsid w:val="00A74EB7"/>
    <w:rsid w:val="00A754E9"/>
    <w:rsid w:val="00A76488"/>
    <w:rsid w:val="00A77147"/>
    <w:rsid w:val="00A857D5"/>
    <w:rsid w:val="00A87E61"/>
    <w:rsid w:val="00A90C46"/>
    <w:rsid w:val="00A923BB"/>
    <w:rsid w:val="00A9268A"/>
    <w:rsid w:val="00A92D8F"/>
    <w:rsid w:val="00AA28F1"/>
    <w:rsid w:val="00AA5260"/>
    <w:rsid w:val="00AA5968"/>
    <w:rsid w:val="00AB2988"/>
    <w:rsid w:val="00AB46C0"/>
    <w:rsid w:val="00AB697B"/>
    <w:rsid w:val="00AB7999"/>
    <w:rsid w:val="00AC58EF"/>
    <w:rsid w:val="00AC5D2B"/>
    <w:rsid w:val="00AD0F8A"/>
    <w:rsid w:val="00AD3292"/>
    <w:rsid w:val="00AD3D7D"/>
    <w:rsid w:val="00AE15DD"/>
    <w:rsid w:val="00AE1684"/>
    <w:rsid w:val="00AE7AF0"/>
    <w:rsid w:val="00AF25F9"/>
    <w:rsid w:val="00AF3A8E"/>
    <w:rsid w:val="00AF4367"/>
    <w:rsid w:val="00B00AEF"/>
    <w:rsid w:val="00B0711E"/>
    <w:rsid w:val="00B151AF"/>
    <w:rsid w:val="00B20870"/>
    <w:rsid w:val="00B2355D"/>
    <w:rsid w:val="00B25031"/>
    <w:rsid w:val="00B25E4B"/>
    <w:rsid w:val="00B325B3"/>
    <w:rsid w:val="00B32FF9"/>
    <w:rsid w:val="00B33733"/>
    <w:rsid w:val="00B37003"/>
    <w:rsid w:val="00B407BA"/>
    <w:rsid w:val="00B44C87"/>
    <w:rsid w:val="00B500CA"/>
    <w:rsid w:val="00B52EC6"/>
    <w:rsid w:val="00B533F9"/>
    <w:rsid w:val="00B54A93"/>
    <w:rsid w:val="00B5682D"/>
    <w:rsid w:val="00B579B9"/>
    <w:rsid w:val="00B6027E"/>
    <w:rsid w:val="00B718FE"/>
    <w:rsid w:val="00B86314"/>
    <w:rsid w:val="00B92145"/>
    <w:rsid w:val="00B92930"/>
    <w:rsid w:val="00B95BB4"/>
    <w:rsid w:val="00BA0880"/>
    <w:rsid w:val="00BA1C2E"/>
    <w:rsid w:val="00BA2609"/>
    <w:rsid w:val="00BA37B1"/>
    <w:rsid w:val="00BA3CBE"/>
    <w:rsid w:val="00BA55A5"/>
    <w:rsid w:val="00BB1C1D"/>
    <w:rsid w:val="00BB77C0"/>
    <w:rsid w:val="00BC200B"/>
    <w:rsid w:val="00BC4756"/>
    <w:rsid w:val="00BC4BF6"/>
    <w:rsid w:val="00BC69A4"/>
    <w:rsid w:val="00BC70B8"/>
    <w:rsid w:val="00BD6181"/>
    <w:rsid w:val="00BE0680"/>
    <w:rsid w:val="00BE2C55"/>
    <w:rsid w:val="00BE305F"/>
    <w:rsid w:val="00BE3477"/>
    <w:rsid w:val="00BE435D"/>
    <w:rsid w:val="00BE55BF"/>
    <w:rsid w:val="00BE7BA3"/>
    <w:rsid w:val="00BF5682"/>
    <w:rsid w:val="00BF5790"/>
    <w:rsid w:val="00BF675B"/>
    <w:rsid w:val="00BF7576"/>
    <w:rsid w:val="00BF7896"/>
    <w:rsid w:val="00BF7B09"/>
    <w:rsid w:val="00C00D18"/>
    <w:rsid w:val="00C02CBC"/>
    <w:rsid w:val="00C04180"/>
    <w:rsid w:val="00C05260"/>
    <w:rsid w:val="00C076B9"/>
    <w:rsid w:val="00C16B47"/>
    <w:rsid w:val="00C17773"/>
    <w:rsid w:val="00C20038"/>
    <w:rsid w:val="00C20A95"/>
    <w:rsid w:val="00C20ED9"/>
    <w:rsid w:val="00C257EE"/>
    <w:rsid w:val="00C2692F"/>
    <w:rsid w:val="00C31B30"/>
    <w:rsid w:val="00C3207C"/>
    <w:rsid w:val="00C3327F"/>
    <w:rsid w:val="00C362CD"/>
    <w:rsid w:val="00C400E1"/>
    <w:rsid w:val="00C41187"/>
    <w:rsid w:val="00C51BD7"/>
    <w:rsid w:val="00C5548A"/>
    <w:rsid w:val="00C63C31"/>
    <w:rsid w:val="00C678A0"/>
    <w:rsid w:val="00C70A78"/>
    <w:rsid w:val="00C742E4"/>
    <w:rsid w:val="00C757A0"/>
    <w:rsid w:val="00C760DE"/>
    <w:rsid w:val="00C82630"/>
    <w:rsid w:val="00C834BD"/>
    <w:rsid w:val="00C83E91"/>
    <w:rsid w:val="00C85B4E"/>
    <w:rsid w:val="00C907F7"/>
    <w:rsid w:val="00C908D1"/>
    <w:rsid w:val="00CA2103"/>
    <w:rsid w:val="00CB059E"/>
    <w:rsid w:val="00CB14AD"/>
    <w:rsid w:val="00CB21E8"/>
    <w:rsid w:val="00CB6B99"/>
    <w:rsid w:val="00CC14E7"/>
    <w:rsid w:val="00CE322B"/>
    <w:rsid w:val="00CE3FD0"/>
    <w:rsid w:val="00CE4A2A"/>
    <w:rsid w:val="00CE4C87"/>
    <w:rsid w:val="00CE544A"/>
    <w:rsid w:val="00CE5DFE"/>
    <w:rsid w:val="00D01CBF"/>
    <w:rsid w:val="00D02EA4"/>
    <w:rsid w:val="00D11E1C"/>
    <w:rsid w:val="00D11E9F"/>
    <w:rsid w:val="00D160B0"/>
    <w:rsid w:val="00D17F94"/>
    <w:rsid w:val="00D223FC"/>
    <w:rsid w:val="00D26D1E"/>
    <w:rsid w:val="00D37B59"/>
    <w:rsid w:val="00D455D3"/>
    <w:rsid w:val="00D474CF"/>
    <w:rsid w:val="00D51048"/>
    <w:rsid w:val="00D526C4"/>
    <w:rsid w:val="00D540C7"/>
    <w:rsid w:val="00D5547E"/>
    <w:rsid w:val="00D63BB5"/>
    <w:rsid w:val="00D83C68"/>
    <w:rsid w:val="00D860E2"/>
    <w:rsid w:val="00D869A1"/>
    <w:rsid w:val="00D97827"/>
    <w:rsid w:val="00DA075C"/>
    <w:rsid w:val="00DA0B73"/>
    <w:rsid w:val="00DA3D82"/>
    <w:rsid w:val="00DA413F"/>
    <w:rsid w:val="00DA4584"/>
    <w:rsid w:val="00DA614B"/>
    <w:rsid w:val="00DB3986"/>
    <w:rsid w:val="00DB54C3"/>
    <w:rsid w:val="00DB7AD7"/>
    <w:rsid w:val="00DC3060"/>
    <w:rsid w:val="00DC74FC"/>
    <w:rsid w:val="00DC7ACE"/>
    <w:rsid w:val="00DD3788"/>
    <w:rsid w:val="00DD50FD"/>
    <w:rsid w:val="00DE0FB2"/>
    <w:rsid w:val="00DF093E"/>
    <w:rsid w:val="00DF131B"/>
    <w:rsid w:val="00DF6AE1"/>
    <w:rsid w:val="00DF795E"/>
    <w:rsid w:val="00E01F42"/>
    <w:rsid w:val="00E029C2"/>
    <w:rsid w:val="00E04215"/>
    <w:rsid w:val="00E05D08"/>
    <w:rsid w:val="00E07BA7"/>
    <w:rsid w:val="00E11F34"/>
    <w:rsid w:val="00E15C16"/>
    <w:rsid w:val="00E206D6"/>
    <w:rsid w:val="00E2115D"/>
    <w:rsid w:val="00E3366E"/>
    <w:rsid w:val="00E35988"/>
    <w:rsid w:val="00E36CD7"/>
    <w:rsid w:val="00E47438"/>
    <w:rsid w:val="00E52086"/>
    <w:rsid w:val="00E543A6"/>
    <w:rsid w:val="00E562D4"/>
    <w:rsid w:val="00E60479"/>
    <w:rsid w:val="00E60E63"/>
    <w:rsid w:val="00E615A4"/>
    <w:rsid w:val="00E61D73"/>
    <w:rsid w:val="00E64380"/>
    <w:rsid w:val="00E652B0"/>
    <w:rsid w:val="00E73630"/>
    <w:rsid w:val="00E73684"/>
    <w:rsid w:val="00E818D6"/>
    <w:rsid w:val="00E875C6"/>
    <w:rsid w:val="00E87F7A"/>
    <w:rsid w:val="00E94764"/>
    <w:rsid w:val="00E94B3E"/>
    <w:rsid w:val="00E96886"/>
    <w:rsid w:val="00E96BD7"/>
    <w:rsid w:val="00E97AB3"/>
    <w:rsid w:val="00EA0DB1"/>
    <w:rsid w:val="00EA0EE9"/>
    <w:rsid w:val="00EA1143"/>
    <w:rsid w:val="00EA213A"/>
    <w:rsid w:val="00EB268E"/>
    <w:rsid w:val="00EB3D5D"/>
    <w:rsid w:val="00EC016A"/>
    <w:rsid w:val="00EC4AC2"/>
    <w:rsid w:val="00ED52CA"/>
    <w:rsid w:val="00ED5860"/>
    <w:rsid w:val="00EE35C9"/>
    <w:rsid w:val="00EF27AA"/>
    <w:rsid w:val="00EF5EBC"/>
    <w:rsid w:val="00EF6990"/>
    <w:rsid w:val="00F040C7"/>
    <w:rsid w:val="00F05ECA"/>
    <w:rsid w:val="00F07D19"/>
    <w:rsid w:val="00F124E2"/>
    <w:rsid w:val="00F165D1"/>
    <w:rsid w:val="00F165E7"/>
    <w:rsid w:val="00F16B56"/>
    <w:rsid w:val="00F21CB4"/>
    <w:rsid w:val="00F2661D"/>
    <w:rsid w:val="00F26E21"/>
    <w:rsid w:val="00F27CD3"/>
    <w:rsid w:val="00F3566E"/>
    <w:rsid w:val="00F375FB"/>
    <w:rsid w:val="00F41AC1"/>
    <w:rsid w:val="00F43436"/>
    <w:rsid w:val="00F4367A"/>
    <w:rsid w:val="00F445B1"/>
    <w:rsid w:val="00F45CD4"/>
    <w:rsid w:val="00F47603"/>
    <w:rsid w:val="00F52765"/>
    <w:rsid w:val="00F52B8F"/>
    <w:rsid w:val="00F55F81"/>
    <w:rsid w:val="00F56A78"/>
    <w:rsid w:val="00F56BAD"/>
    <w:rsid w:val="00F57293"/>
    <w:rsid w:val="00F66DCA"/>
    <w:rsid w:val="00F703A1"/>
    <w:rsid w:val="00F74F53"/>
    <w:rsid w:val="00F7606D"/>
    <w:rsid w:val="00F81670"/>
    <w:rsid w:val="00F82024"/>
    <w:rsid w:val="00F85DC8"/>
    <w:rsid w:val="00F865A3"/>
    <w:rsid w:val="00F86FC9"/>
    <w:rsid w:val="00F94095"/>
    <w:rsid w:val="00F95089"/>
    <w:rsid w:val="00F95BC9"/>
    <w:rsid w:val="00FA28A9"/>
    <w:rsid w:val="00FA624C"/>
    <w:rsid w:val="00FB3B71"/>
    <w:rsid w:val="00FC1FB3"/>
    <w:rsid w:val="00FC4353"/>
    <w:rsid w:val="00FC4A95"/>
    <w:rsid w:val="00FD0FAC"/>
    <w:rsid w:val="00FD1DFA"/>
    <w:rsid w:val="00FD31AD"/>
    <w:rsid w:val="00FD42B2"/>
    <w:rsid w:val="00FD4966"/>
    <w:rsid w:val="00FD5144"/>
    <w:rsid w:val="00FE57DC"/>
    <w:rsid w:val="00FE7A6A"/>
    <w:rsid w:val="00FF095A"/>
    <w:rsid w:val="00FF4A12"/>
    <w:rsid w:val="05B94C3D"/>
    <w:rsid w:val="0674F83C"/>
    <w:rsid w:val="07D434D5"/>
    <w:rsid w:val="0AEAD29A"/>
    <w:rsid w:val="0B89A7FD"/>
    <w:rsid w:val="0E137018"/>
    <w:rsid w:val="0ECD8498"/>
    <w:rsid w:val="0FB9297F"/>
    <w:rsid w:val="11DE2519"/>
    <w:rsid w:val="150E6135"/>
    <w:rsid w:val="16C788FA"/>
    <w:rsid w:val="187CEEE6"/>
    <w:rsid w:val="18B12936"/>
    <w:rsid w:val="1A2406DF"/>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D1A72D"/>
    <w:rsid w:val="34ECE2A5"/>
    <w:rsid w:val="34F1802A"/>
    <w:rsid w:val="35E68B5F"/>
    <w:rsid w:val="3742E73C"/>
    <w:rsid w:val="38C4BD77"/>
    <w:rsid w:val="38F07F97"/>
    <w:rsid w:val="3A028991"/>
    <w:rsid w:val="3A1580BC"/>
    <w:rsid w:val="3BB43EC8"/>
    <w:rsid w:val="3C9559B9"/>
    <w:rsid w:val="3D75EE1D"/>
    <w:rsid w:val="4165F553"/>
    <w:rsid w:val="431C3BF6"/>
    <w:rsid w:val="43F42839"/>
    <w:rsid w:val="47265693"/>
    <w:rsid w:val="4DC9FD09"/>
    <w:rsid w:val="4DF06A9C"/>
    <w:rsid w:val="4E460C83"/>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0811D89F-07DA-41CB-94F2-3230FE88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vkekvd" w:customStyle="1">
    <w:name w:val="vkekvd"/>
    <w:basedOn w:val="DefaultParagraphFont"/>
    <w:rsid w:val="00C678A0"/>
  </w:style>
  <w:style w:type="paragraph" w:styleId="Subtitle">
    <w:name w:val="Subtitle"/>
    <w:basedOn w:val="Normal"/>
    <w:next w:val="Normal"/>
    <w:link w:val="SubtitleChar"/>
    <w:uiPriority w:val="11"/>
    <w:qFormat/>
    <w:rsid w:val="00C20038"/>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C20038"/>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CommentTextChar" w:customStyle="1">
    <w:name w:val="Comment Text Char"/>
    <w:basedOn w:val="DefaultParagraphFont"/>
    <w:link w:val="CommentText"/>
    <w:uiPriority w:val="99"/>
    <w:rsid w:val="001A47B1"/>
    <w:rPr>
      <w:color w:val="000000"/>
    </w:rPr>
  </w:style>
  <w:style w:type="character" w:styleId="UnresolvedMention">
    <w:name w:val="Unresolved Mention"/>
    <w:basedOn w:val="DefaultParagraphFont"/>
    <w:uiPriority w:val="99"/>
    <w:semiHidden/>
    <w:unhideWhenUsed/>
    <w:rsid w:val="004A2519"/>
    <w:rPr>
      <w:color w:val="605E5C"/>
      <w:shd w:val="clear" w:color="auto" w:fill="E1DFDD"/>
    </w:rPr>
  </w:style>
  <w:style w:type="character" w:styleId="ms-1" w:customStyle="1">
    <w:name w:val="ms-1"/>
    <w:basedOn w:val="DefaultParagraphFont"/>
    <w:rsid w:val="00254C68"/>
  </w:style>
  <w:style w:type="character" w:styleId="max-w-15ch" w:customStyle="1">
    <w:name w:val="max-w-[15ch]"/>
    <w:basedOn w:val="DefaultParagraphFont"/>
    <w:rsid w:val="00254C68"/>
  </w:style>
  <w:style w:type="character" w:styleId="Strong">
    <w:name w:val="Strong"/>
    <w:basedOn w:val="DefaultParagraphFont"/>
    <w:uiPriority w:val="22"/>
    <w:qFormat/>
    <w:rsid w:val="00254C68"/>
    <w:rPr>
      <w:b/>
      <w:bCs/>
    </w:rPr>
  </w:style>
  <w:style w:type="character" w:styleId="FollowedHyperlink">
    <w:name w:val="FollowedHyperlink"/>
    <w:basedOn w:val="DefaultParagraphFont"/>
    <w:semiHidden/>
    <w:unhideWhenUsed/>
    <w:rsid w:val="007C1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18526837">
      <w:bodyDiv w:val="1"/>
      <w:marLeft w:val="0"/>
      <w:marRight w:val="0"/>
      <w:marTop w:val="0"/>
      <w:marBottom w:val="0"/>
      <w:divBdr>
        <w:top w:val="none" w:sz="0" w:space="0" w:color="auto"/>
        <w:left w:val="none" w:sz="0" w:space="0" w:color="auto"/>
        <w:bottom w:val="none" w:sz="0" w:space="0" w:color="auto"/>
        <w:right w:val="none" w:sz="0" w:space="0" w:color="auto"/>
      </w:divBdr>
      <w:divsChild>
        <w:div w:id="1614483081">
          <w:marLeft w:val="0"/>
          <w:marRight w:val="0"/>
          <w:marTop w:val="0"/>
          <w:marBottom w:val="0"/>
          <w:divBdr>
            <w:top w:val="none" w:sz="0" w:space="0" w:color="auto"/>
            <w:left w:val="none" w:sz="0" w:space="0" w:color="auto"/>
            <w:bottom w:val="none" w:sz="0" w:space="0" w:color="auto"/>
            <w:right w:val="none" w:sz="0" w:space="0" w:color="auto"/>
          </w:divBdr>
          <w:divsChild>
            <w:div w:id="209655121">
              <w:marLeft w:val="240"/>
              <w:marRight w:val="0"/>
              <w:marTop w:val="0"/>
              <w:marBottom w:val="0"/>
              <w:divBdr>
                <w:top w:val="none" w:sz="0" w:space="0" w:color="auto"/>
                <w:left w:val="none" w:sz="0" w:space="0" w:color="auto"/>
                <w:bottom w:val="none" w:sz="0" w:space="0" w:color="auto"/>
                <w:right w:val="none" w:sz="0" w:space="0" w:color="auto"/>
              </w:divBdr>
              <w:divsChild>
                <w:div w:id="778918495">
                  <w:marLeft w:val="0"/>
                  <w:marRight w:val="0"/>
                  <w:marTop w:val="0"/>
                  <w:marBottom w:val="0"/>
                  <w:divBdr>
                    <w:top w:val="none" w:sz="0" w:space="0" w:color="auto"/>
                    <w:left w:val="none" w:sz="0" w:space="0" w:color="auto"/>
                    <w:bottom w:val="none" w:sz="0" w:space="0" w:color="auto"/>
                    <w:right w:val="none" w:sz="0" w:space="0" w:color="auto"/>
                  </w:divBdr>
                  <w:divsChild>
                    <w:div w:id="11817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28077533">
      <w:bodyDiv w:val="1"/>
      <w:marLeft w:val="0"/>
      <w:marRight w:val="0"/>
      <w:marTop w:val="0"/>
      <w:marBottom w:val="0"/>
      <w:divBdr>
        <w:top w:val="none" w:sz="0" w:space="0" w:color="auto"/>
        <w:left w:val="none" w:sz="0" w:space="0" w:color="auto"/>
        <w:bottom w:val="none" w:sz="0" w:space="0" w:color="auto"/>
        <w:right w:val="none" w:sz="0" w:space="0" w:color="auto"/>
      </w:divBdr>
      <w:divsChild>
        <w:div w:id="1332678992">
          <w:marLeft w:val="0"/>
          <w:marRight w:val="0"/>
          <w:marTop w:val="0"/>
          <w:marBottom w:val="0"/>
          <w:divBdr>
            <w:top w:val="none" w:sz="0" w:space="0" w:color="auto"/>
            <w:left w:val="none" w:sz="0" w:space="0" w:color="auto"/>
            <w:bottom w:val="none" w:sz="0" w:space="0" w:color="auto"/>
            <w:right w:val="none" w:sz="0" w:space="0" w:color="auto"/>
          </w:divBdr>
          <w:divsChild>
            <w:div w:id="1206600300">
              <w:marLeft w:val="240"/>
              <w:marRight w:val="0"/>
              <w:marTop w:val="0"/>
              <w:marBottom w:val="0"/>
              <w:divBdr>
                <w:top w:val="none" w:sz="0" w:space="0" w:color="auto"/>
                <w:left w:val="none" w:sz="0" w:space="0" w:color="auto"/>
                <w:bottom w:val="none" w:sz="0" w:space="0" w:color="auto"/>
                <w:right w:val="none" w:sz="0" w:space="0" w:color="auto"/>
              </w:divBdr>
              <w:divsChild>
                <w:div w:id="1380327328">
                  <w:marLeft w:val="0"/>
                  <w:marRight w:val="0"/>
                  <w:marTop w:val="0"/>
                  <w:marBottom w:val="0"/>
                  <w:divBdr>
                    <w:top w:val="none" w:sz="0" w:space="0" w:color="auto"/>
                    <w:left w:val="none" w:sz="0" w:space="0" w:color="auto"/>
                    <w:bottom w:val="none" w:sz="0" w:space="0" w:color="auto"/>
                    <w:right w:val="none" w:sz="0" w:space="0" w:color="auto"/>
                  </w:divBdr>
                  <w:divsChild>
                    <w:div w:id="18142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676">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dway@oxford.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im-museums.co.uk/wp-content/uploads/2024/11/AIM-Admissions-Pricing-Policy-Success-Guide-FINAL-1.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374571-E3DA-4034-9AC7-87DE60BCE1E1}"/>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181BCFD2-81E2-4427-86F5-27E3506938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MCCOLLUM Brenda</cp:lastModifiedBy>
  <cp:revision>9</cp:revision>
  <cp:lastPrinted>2015-07-03T13:50:00Z</cp:lastPrinted>
  <dcterms:created xsi:type="dcterms:W3CDTF">2025-10-08T17:50:00Z</dcterms:created>
  <dcterms:modified xsi:type="dcterms:W3CDTF">2025-10-09T10:15:06Z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